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8"/>
          <w:szCs w:val="28"/>
          <w:lang w:val="uk-UA"/>
        </w:rPr>
      </w:pPr>
      <w:r w:rsidRPr="00DD262C">
        <w:rPr>
          <w:rFonts w:ascii="Times New Roman" w:hAnsi="Times New Roman" w:cs="Times New Roman"/>
          <w:b/>
          <w:bCs/>
          <w:sz w:val="28"/>
          <w:szCs w:val="28"/>
          <w:lang w:val="uk-UA"/>
        </w:rPr>
        <w:t>Титульний аркуш</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rsidRPr="00DD262C">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21.12.2023</w:t>
            </w:r>
          </w:p>
        </w:tc>
      </w:tr>
      <w:tr w:rsidR="00000000" w:rsidRPr="00DD262C">
        <w:tblPrEx>
          <w:tblCellMar>
            <w:top w:w="0" w:type="dxa"/>
            <w:bottom w:w="0" w:type="dxa"/>
          </w:tblCellMar>
        </w:tblPrEx>
        <w:trPr>
          <w:trHeight w:val="300"/>
        </w:trPr>
        <w:tc>
          <w:tcPr>
            <w:tcW w:w="55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r w:rsidRPr="00DD262C">
              <w:rPr>
                <w:rFonts w:ascii="Times New Roman" w:hAnsi="Times New Roman" w:cs="Times New Roman"/>
                <w:sz w:val="20"/>
                <w:szCs w:val="20"/>
                <w:lang w:val="uk-UA"/>
              </w:rPr>
              <w:t>(дата реєстрації емітентом електронного документа)</w:t>
            </w:r>
          </w:p>
        </w:tc>
      </w:tr>
      <w:tr w:rsidR="00000000" w:rsidRPr="00DD262C">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22/4</w:t>
            </w:r>
          </w:p>
        </w:tc>
      </w:tr>
      <w:tr w:rsidR="00000000" w:rsidRPr="00DD262C">
        <w:tblPrEx>
          <w:tblCellMar>
            <w:top w:w="0" w:type="dxa"/>
            <w:bottom w:w="0" w:type="dxa"/>
          </w:tblCellMar>
        </w:tblPrEx>
        <w:trPr>
          <w:trHeight w:val="300"/>
        </w:trPr>
        <w:tc>
          <w:tcPr>
            <w:tcW w:w="55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r w:rsidRPr="00DD262C">
              <w:rPr>
                <w:rFonts w:ascii="Times New Roman" w:hAnsi="Times New Roman" w:cs="Times New Roman"/>
                <w:sz w:val="20"/>
                <w:szCs w:val="20"/>
                <w:lang w:val="uk-UA"/>
              </w:rPr>
              <w:t>(вихідний реєстраційний номер електронного документа)</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0"/>
          <w:szCs w:val="20"/>
          <w:lang w:val="uk-UA"/>
        </w:rPr>
        <w:tab/>
      </w:r>
      <w:r w:rsidRPr="00DD262C">
        <w:rPr>
          <w:rFonts w:ascii="Times New Roman" w:hAnsi="Times New Roman" w:cs="Times New Roman"/>
          <w:sz w:val="24"/>
          <w:szCs w:val="24"/>
          <w:lang w:val="uk-UA"/>
        </w:rPr>
        <w:t xml:space="preserve">Підтверджую ідентичність та достовірність інформації, що розкрита відповідно до вимог Положення про розкриття </w:t>
      </w:r>
      <w:r w:rsidRPr="00DD262C">
        <w:rPr>
          <w:rFonts w:ascii="Times New Roman" w:hAnsi="Times New Roman" w:cs="Times New Roman"/>
          <w:sz w:val="24"/>
          <w:szCs w:val="24"/>
          <w:lang w:val="uk-UA"/>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sidRPr="00DD262C">
        <w:rPr>
          <w:rFonts w:ascii="Times New Roman" w:hAnsi="Times New Roman" w:cs="Times New Roman"/>
          <w:sz w:val="24"/>
          <w:szCs w:val="24"/>
          <w:lang w:val="uk-UA"/>
        </w:rPr>
        <w:t>ложення).</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rsidRPr="00DD262C">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Генеральний директор</w:t>
            </w:r>
          </w:p>
        </w:tc>
        <w:tc>
          <w:tcPr>
            <w:tcW w:w="550" w:type="dxa"/>
            <w:tcBorders>
              <w:top w:val="nil"/>
              <w:left w:val="nil"/>
              <w:bottom w:val="nil"/>
              <w:right w:val="nil"/>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102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550" w:type="dxa"/>
            <w:gridSpan w:val="2"/>
            <w:tcBorders>
              <w:top w:val="nil"/>
              <w:left w:val="nil"/>
              <w:bottom w:val="nil"/>
              <w:right w:val="nil"/>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c>
          <w:tcPr>
            <w:tcW w:w="432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Яхниця I.О.</w:t>
            </w:r>
          </w:p>
        </w:tc>
      </w:tr>
      <w:tr w:rsidR="00000000" w:rsidRPr="00DD262C">
        <w:tblPrEx>
          <w:tblCellMar>
            <w:top w:w="0" w:type="dxa"/>
            <w:bottom w:w="0" w:type="dxa"/>
          </w:tblCellMar>
        </w:tblPrEx>
        <w:trPr>
          <w:trHeight w:val="200"/>
        </w:trPr>
        <w:tc>
          <w:tcPr>
            <w:tcW w:w="3640" w:type="dxa"/>
            <w:tcBorders>
              <w:top w:val="nil"/>
              <w:left w:val="nil"/>
              <w:bottom w:val="nil"/>
              <w:right w:val="nil"/>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0"/>
                <w:szCs w:val="20"/>
                <w:lang w:val="uk-UA"/>
              </w:rPr>
            </w:pPr>
            <w:r w:rsidRPr="00DD262C">
              <w:rPr>
                <w:rFonts w:ascii="Times New Roman" w:hAnsi="Times New Roman" w:cs="Times New Roman"/>
                <w:sz w:val="20"/>
                <w:szCs w:val="20"/>
                <w:lang w:val="uk-UA"/>
              </w:rPr>
              <w:t>(посада)</w:t>
            </w:r>
          </w:p>
        </w:tc>
        <w:tc>
          <w:tcPr>
            <w:tcW w:w="1620" w:type="dxa"/>
            <w:gridSpan w:val="3"/>
            <w:tcBorders>
              <w:top w:val="nil"/>
              <w:left w:val="nil"/>
              <w:bottom w:val="nil"/>
              <w:right w:val="nil"/>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0"/>
                <w:szCs w:val="20"/>
                <w:lang w:val="uk-UA"/>
              </w:rPr>
            </w:pPr>
            <w:r w:rsidRPr="00DD262C">
              <w:rPr>
                <w:rFonts w:ascii="Times New Roman" w:hAnsi="Times New Roman" w:cs="Times New Roman"/>
                <w:sz w:val="20"/>
                <w:szCs w:val="20"/>
                <w:lang w:val="uk-UA"/>
              </w:rPr>
              <w:t>(підпис)</w:t>
            </w:r>
          </w:p>
        </w:tc>
        <w:tc>
          <w:tcPr>
            <w:tcW w:w="4820" w:type="dxa"/>
            <w:gridSpan w:val="2"/>
            <w:tcBorders>
              <w:top w:val="nil"/>
              <w:left w:val="nil"/>
              <w:bottom w:val="nil"/>
              <w:right w:val="nil"/>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0"/>
                <w:szCs w:val="20"/>
                <w:lang w:val="uk-UA"/>
              </w:rPr>
            </w:pPr>
            <w:r w:rsidRPr="00DD262C">
              <w:rPr>
                <w:rFonts w:ascii="Times New Roman" w:hAnsi="Times New Roman" w:cs="Times New Roman"/>
                <w:sz w:val="20"/>
                <w:szCs w:val="20"/>
                <w:lang w:val="uk-UA"/>
              </w:rPr>
              <w:t>(прізвище та ініціали керівника або уповноваженої особи емітента)</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Проміжна інформація емітента цінних паперів</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за 4 квартал 2022 року</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I. Загальні відомості</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 Повне найменування емітента: Приватне акцiонерне товариство "Страхова компанiя "САТIС"</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 Організаційно-правова форма: Приватне акціонерне товариство</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3. Ідентифікаційний код юридичної особи: 22963118</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4. Місцезнаходження: 03028, мiсто Київ, Саперно-Слобi</w:t>
      </w:r>
      <w:r w:rsidRPr="00DD262C">
        <w:rPr>
          <w:rFonts w:ascii="Times New Roman" w:hAnsi="Times New Roman" w:cs="Times New Roman"/>
          <w:sz w:val="24"/>
          <w:szCs w:val="24"/>
          <w:lang w:val="uk-UA"/>
        </w:rPr>
        <w:t>дська, 22</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5. Міжміський код, телефон та факс: 0445021038, </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6. Адреса електронної пошти: office@satis.kiev.ua</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sidRPr="00DD262C">
        <w:rPr>
          <w:rFonts w:ascii="Times New Roman" w:hAnsi="Times New Roman" w:cs="Times New Roman"/>
          <w:sz w:val="24"/>
          <w:szCs w:val="24"/>
          <w:lang w:val="uk-UA"/>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8. Найменування, ідентифікаційний код юридичної особи, країна реєстрації </w:t>
      </w:r>
      <w:r w:rsidRPr="00DD262C">
        <w:rPr>
          <w:rFonts w:ascii="Times New Roman" w:hAnsi="Times New Roman" w:cs="Times New Roman"/>
          <w:sz w:val="24"/>
          <w:szCs w:val="24"/>
          <w:lang w:val="uk-UA"/>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sidRPr="00DD262C">
        <w:rPr>
          <w:rFonts w:ascii="Times New Roman" w:hAnsi="Times New Roman" w:cs="Times New Roman"/>
          <w:sz w:val="24"/>
          <w:szCs w:val="24"/>
          <w:lang w:val="uk-UA"/>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II. Дані про дату та м</w:t>
      </w:r>
      <w:r w:rsidRPr="00DD262C">
        <w:rPr>
          <w:rFonts w:ascii="Times New Roman" w:hAnsi="Times New Roman" w:cs="Times New Roman"/>
          <w:b/>
          <w:bCs/>
          <w:sz w:val="24"/>
          <w:szCs w:val="24"/>
          <w:lang w:val="uk-UA"/>
        </w:rPr>
        <w:t>ісце оприлюднення проміжної інформації</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rsidRPr="00DD262C">
        <w:tblPrEx>
          <w:tblCellMar>
            <w:top w:w="0" w:type="dxa"/>
            <w:bottom w:w="0" w:type="dxa"/>
          </w:tblCellMar>
        </w:tblPrEx>
        <w:trPr>
          <w:trHeight w:val="300"/>
        </w:trPr>
        <w:tc>
          <w:tcPr>
            <w:tcW w:w="445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www.satis.ua</w:t>
            </w:r>
          </w:p>
        </w:tc>
        <w:tc>
          <w:tcPr>
            <w:tcW w:w="1500" w:type="dxa"/>
            <w:tcBorders>
              <w:top w:val="nil"/>
              <w:left w:val="nil"/>
              <w:bottom w:val="single" w:sz="6" w:space="0" w:color="auto"/>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30.12.2023</w:t>
            </w:r>
          </w:p>
        </w:tc>
      </w:tr>
      <w:tr w:rsidR="00000000" w:rsidRPr="00DD262C">
        <w:tblPrEx>
          <w:tblCellMar>
            <w:top w:w="0" w:type="dxa"/>
            <w:bottom w:w="0" w:type="dxa"/>
          </w:tblCellMar>
        </w:tblPrEx>
        <w:trPr>
          <w:trHeight w:val="300"/>
        </w:trPr>
        <w:tc>
          <w:tcPr>
            <w:tcW w:w="445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pPr>
          </w:p>
        </w:tc>
        <w:tc>
          <w:tcPr>
            <w:tcW w:w="413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0"/>
                <w:szCs w:val="20"/>
                <w:lang w:val="uk-UA"/>
              </w:rPr>
            </w:pPr>
            <w:r w:rsidRPr="00DD262C">
              <w:rPr>
                <w:rFonts w:ascii="Times New Roman" w:hAnsi="Times New Roman" w:cs="Times New Roman"/>
                <w:sz w:val="20"/>
                <w:szCs w:val="20"/>
                <w:lang w:val="uk-UA"/>
              </w:rPr>
              <w:t>(URL-адреса сторінки)</w:t>
            </w:r>
          </w:p>
        </w:tc>
        <w:tc>
          <w:tcPr>
            <w:tcW w:w="15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0"/>
                <w:szCs w:val="20"/>
                <w:lang w:val="uk-UA"/>
              </w:rPr>
            </w:pPr>
            <w:r w:rsidRPr="00DD262C">
              <w:rPr>
                <w:rFonts w:ascii="Times New Roman" w:hAnsi="Times New Roman" w:cs="Times New Roman"/>
                <w:sz w:val="20"/>
                <w:szCs w:val="20"/>
                <w:lang w:val="uk-UA"/>
              </w:rPr>
              <w:t>(дата)</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0"/>
          <w:szCs w:val="20"/>
          <w:lang w:val="uk-UA"/>
        </w:rPr>
        <w:sectPr w:rsidR="00000000" w:rsidRPr="00DD262C">
          <w:pgSz w:w="12240" w:h="15840"/>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lastRenderedPageBreak/>
        <w:t>Зміст</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b/>
          <w:bCs/>
          <w:sz w:val="28"/>
          <w:szCs w:val="28"/>
          <w:lang w:val="uk-UA"/>
        </w:rPr>
        <w:tab/>
      </w:r>
      <w:r w:rsidRPr="00DD262C">
        <w:rPr>
          <w:rFonts w:ascii="Times New Roman" w:hAnsi="Times New Roman" w:cs="Times New Roman"/>
          <w:sz w:val="24"/>
          <w:szCs w:val="24"/>
          <w:lang w:val="uk-UA"/>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 Основні відомості про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3. Інформація про посадових осіб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3) інформація про собівартість реалізован</w:t>
            </w:r>
            <w:r w:rsidRPr="00DD262C">
              <w:rPr>
                <w:rFonts w:ascii="Times New Roman" w:hAnsi="Times New Roman" w:cs="Times New Roman"/>
                <w:sz w:val="24"/>
                <w:szCs w:val="24"/>
                <w:lang w:val="uk-UA"/>
              </w:rPr>
              <w:t>ої продукції</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5. Відомості про цінні папери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1) інформація про випуски акцій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2) інформація про облігації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7. Інформація щодо корпоративного секретаря</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8. Інформація про вчинення значних правочинів</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9. Інформація про вчинення правоч</w:t>
            </w:r>
            <w:r w:rsidRPr="00DD262C">
              <w:rPr>
                <w:rFonts w:ascii="Times New Roman" w:hAnsi="Times New Roman" w:cs="Times New Roman"/>
                <w:sz w:val="24"/>
                <w:szCs w:val="24"/>
                <w:lang w:val="uk-UA"/>
              </w:rPr>
              <w:t xml:space="preserve">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10. Інформація про будь-які обмеження щодо обігу цінних паперів емітента, </w:t>
            </w:r>
            <w:r w:rsidRPr="00DD262C">
              <w:rPr>
                <w:rFonts w:ascii="Times New Roman" w:hAnsi="Times New Roman" w:cs="Times New Roman"/>
                <w:sz w:val="24"/>
                <w:szCs w:val="24"/>
                <w:lang w:val="uk-UA"/>
              </w:rPr>
              <w:t>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w:t>
            </w:r>
            <w:r w:rsidRPr="00DD262C">
              <w:rPr>
                <w:rFonts w:ascii="Times New Roman" w:hAnsi="Times New Roman" w:cs="Times New Roman"/>
                <w:sz w:val="24"/>
                <w:szCs w:val="24"/>
                <w:lang w:val="uk-UA"/>
              </w:rPr>
              <w:t>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12. Інформація про конвертацію цінних паперів</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13. Інформація про заміну управителя</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14. Інформація про керуючого іпотекою</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17. Інформація про іпотечне покр</w:t>
            </w:r>
            <w:r w:rsidRPr="00DD262C">
              <w:rPr>
                <w:rFonts w:ascii="Times New Roman" w:hAnsi="Times New Roman" w:cs="Times New Roman"/>
                <w:sz w:val="24"/>
                <w:szCs w:val="24"/>
                <w:lang w:val="uk-UA"/>
              </w:rPr>
              <w:t>иття:</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sidRPr="00DD262C">
              <w:rPr>
                <w:rFonts w:ascii="Times New Roman" w:hAnsi="Times New Roman" w:cs="Times New Roman"/>
                <w:sz w:val="24"/>
                <w:szCs w:val="24"/>
                <w:lang w:val="uk-UA"/>
              </w:rPr>
              <w:t>ріоду</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19. Пр</w:t>
            </w:r>
            <w:r w:rsidRPr="00DD262C">
              <w:rPr>
                <w:rFonts w:ascii="Times New Roman" w:hAnsi="Times New Roman" w:cs="Times New Roman"/>
                <w:sz w:val="24"/>
                <w:szCs w:val="24"/>
                <w:lang w:val="uk-UA"/>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20. Звіт про стан об'єкта нерухомості (у разі емісії цільових облігацій підприємств</w:t>
            </w:r>
            <w:r w:rsidRPr="00DD262C">
              <w:rPr>
                <w:rFonts w:ascii="Times New Roman" w:hAnsi="Times New Roman" w:cs="Times New Roman"/>
                <w:sz w:val="24"/>
                <w:szCs w:val="24"/>
                <w:lang w:val="uk-UA"/>
              </w:rPr>
              <w:t>,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22. Проміжна фінансова звітність еміт</w:t>
            </w:r>
            <w:r w:rsidRPr="00DD262C">
              <w:rPr>
                <w:rFonts w:ascii="Times New Roman" w:hAnsi="Times New Roman" w:cs="Times New Roman"/>
                <w:sz w:val="24"/>
                <w:szCs w:val="24"/>
                <w:lang w:val="uk-UA"/>
              </w:rPr>
              <w:t>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24. Проміжний звіт керівництва</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9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25. Твердження щодо проміжної інформації</w:t>
            </w:r>
          </w:p>
        </w:tc>
        <w:tc>
          <w:tcPr>
            <w:tcW w:w="1000" w:type="dxa"/>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sz w:val="24"/>
                <w:szCs w:val="24"/>
                <w:lang w:val="uk-UA"/>
              </w:rPr>
            </w:pPr>
            <w:r w:rsidRPr="00DD262C">
              <w:rPr>
                <w:rFonts w:ascii="Times New Roman" w:hAnsi="Times New Roman" w:cs="Times New Roman"/>
                <w:sz w:val="24"/>
                <w:szCs w:val="24"/>
                <w:lang w:val="uk-UA"/>
              </w:rPr>
              <w:t>X</w:t>
            </w:r>
          </w:p>
        </w:tc>
      </w:tr>
      <w:tr w:rsidR="00000000" w:rsidRPr="00DD262C">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26. Примітки:</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 </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sectPr w:rsidR="00000000" w:rsidRPr="00DD262C">
          <w:pgSz w:w="12240" w:h="15840"/>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ІІІ. Основні відомості про емітента</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1. Повне найменування</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ab/>
        <w:t>Приватне акцiонерне товариство "Страхова компанiя "САТIС"</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2. Дата проведення державної реєстрації</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10.03.1995</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3. Територія (область)</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м.Київ</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 xml:space="preserve">4. Статутний капітал (грн) </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16524360</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5. Відсоток акцій у статутному капіталі, що належать державі</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0</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sidRPr="00DD262C">
        <w:rPr>
          <w:rFonts w:ascii="Times New Roman" w:hAnsi="Times New Roman" w:cs="Times New Roman"/>
          <w:b/>
          <w:bCs/>
          <w:sz w:val="24"/>
          <w:szCs w:val="24"/>
          <w:lang w:val="uk-UA"/>
        </w:rPr>
        <w:t>ової компанії</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0</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7. Середня кількість працівників (осіб)</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15</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8. Основні види діяльності із зазначенням найменування виду діяльності та коду за КВЕД</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65.12 - Iншi види страхування, крiм страхування життя</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65.20 - Перестрахування</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9. Органи управління підприє</w:t>
      </w:r>
      <w:r w:rsidRPr="00DD262C">
        <w:rPr>
          <w:rFonts w:ascii="Times New Roman" w:hAnsi="Times New Roman" w:cs="Times New Roman"/>
          <w:b/>
          <w:bCs/>
          <w:sz w:val="24"/>
          <w:szCs w:val="24"/>
          <w:lang w:val="uk-UA"/>
        </w:rPr>
        <w:t>мства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Загальнi збори акцiонерiвНаглядова радаГенеральний директор</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b/>
                <w:bCs/>
                <w:lang w:val="uk-UA"/>
              </w:rPr>
              <w:t>Ідентифікаційний код юридичної особи, якщо засновник - юридична особа</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1929704015</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3063622099</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3038607089</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1924803299</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33737873</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21647378</w:t>
            </w:r>
          </w:p>
        </w:tc>
      </w:tr>
      <w:tr w:rsidR="00000000" w:rsidRPr="00DD262C">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19364130</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Якщо кількість фізичних осіб - засновників емітента перевищує двадцять, зазначається загальна кількість фізичних осіб:</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14</w:t>
      </w: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11. Банки, що обслуговують емітента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 xml:space="preserve">1) найменування банку (філії, відділення банку), який обслуговує емітента за поточним рахунком у </w:t>
      </w:r>
      <w:r w:rsidRPr="00DD262C">
        <w:rPr>
          <w:rFonts w:ascii="Times New Roman" w:hAnsi="Times New Roman" w:cs="Times New Roman"/>
          <w:sz w:val="24"/>
          <w:szCs w:val="24"/>
          <w:lang w:val="uk-UA"/>
        </w:rPr>
        <w:t>національній валюті</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АТ КБ "ПРИВАТБАНК", МФО 305299</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 IBAN</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UA59305299000002505046200629</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3) поточний рахунок</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UA59305299000002505046200629</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4) найменування банку (філії, відділення банку), який обслуговує емітента за поточним рахунком в іноземній валюті</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А</w:t>
      </w:r>
      <w:r w:rsidRPr="00DD262C">
        <w:rPr>
          <w:rFonts w:ascii="Times New Roman" w:hAnsi="Times New Roman" w:cs="Times New Roman"/>
          <w:sz w:val="24"/>
          <w:szCs w:val="24"/>
          <w:lang w:val="uk-UA"/>
        </w:rPr>
        <w:t>Т КБ "ПРИВАТБАНК", МФО 305299</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5) IBAN</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UA413052990000026505046200856</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6) поточний рахунок</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UA413052990000026505046200856</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Дата закінчення дії ліцензії (за наявності)</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c>
          <w:tcPr>
            <w:tcW w:w="12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w:t>
            </w:r>
            <w:r w:rsidRPr="00DD262C">
              <w:rPr>
                <w:rFonts w:ascii="Times New Roman" w:hAnsi="Times New Roman" w:cs="Times New Roman"/>
                <w:lang w:val="uk-UA"/>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w:t>
            </w:r>
            <w:r w:rsidRPr="00DD262C">
              <w:rPr>
                <w:rFonts w:ascii="Times New Roman" w:hAnsi="Times New Roman" w:cs="Times New Roman"/>
                <w:lang w:val="uk-UA"/>
              </w:rPr>
              <w:t>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08.12.2010</w:t>
            </w:r>
          </w:p>
        </w:tc>
        <w:tc>
          <w:tcPr>
            <w:tcW w:w="30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6765" w:type="dxa"/>
            <w:gridSpan w:val="4"/>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Безстрокова</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V. Інформація про посадових осіб емітента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 Посада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Генеральний директор</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 Прізвище, ім'я, по батькові</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Яхниця Iгор Олександрович</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3. Рік народження</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1952</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4. Освіта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r>
      <w:r w:rsidRPr="00DD262C">
        <w:rPr>
          <w:rFonts w:ascii="Times New Roman" w:hAnsi="Times New Roman" w:cs="Times New Roman"/>
          <w:sz w:val="24"/>
          <w:szCs w:val="24"/>
          <w:lang w:val="uk-UA"/>
        </w:rPr>
        <w:t>вища економiчна освiта, диплом вiд 30.06.1989 року, серiя УВ №896052</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5. Стаж роботи (років)</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23</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6. Найменування підприємства, ідентифікаційний код юридичної особи та посада, яку займав</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ab/>
        <w:t>Iнститут фiзiологiї iменi О.О. Богомольця,  Код ЄДРПОУ 05417093,Старши</w:t>
      </w:r>
      <w:r w:rsidRPr="00DD262C">
        <w:rPr>
          <w:rFonts w:ascii="Times New Roman" w:hAnsi="Times New Roman" w:cs="Times New Roman"/>
          <w:sz w:val="24"/>
          <w:szCs w:val="24"/>
          <w:lang w:val="uk-UA"/>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7. Опис</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ab/>
        <w:t>Повноваження та обов`язки посадо</w:t>
      </w:r>
      <w:r w:rsidRPr="00DD262C">
        <w:rPr>
          <w:rFonts w:ascii="Times New Roman" w:hAnsi="Times New Roman" w:cs="Times New Roman"/>
          <w:sz w:val="24"/>
          <w:szCs w:val="24"/>
          <w:lang w:val="uk-UA"/>
        </w:rPr>
        <w:t>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кор</w:t>
      </w:r>
      <w:r w:rsidRPr="00DD262C">
        <w:rPr>
          <w:rFonts w:ascii="Times New Roman" w:hAnsi="Times New Roman" w:cs="Times New Roman"/>
          <w:sz w:val="24"/>
          <w:szCs w:val="24"/>
          <w:lang w:val="uk-UA"/>
        </w:rPr>
        <w:t>исливi та посадовi злочини посадова особа не має. Посадова особа не працює та не займає посад на будь-яких iнших пiдприємствах</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sectPr w:rsidR="00000000" w:rsidRPr="00DD262C">
          <w:pgSz w:w="12240" w:h="15840"/>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VII. Відомості про цінні папери емітента</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b/>
          <w:bCs/>
          <w:sz w:val="24"/>
          <w:szCs w:val="24"/>
          <w:lang w:val="uk-UA"/>
        </w:rPr>
      </w:pPr>
      <w:r w:rsidRPr="00DD262C">
        <w:rPr>
          <w:rFonts w:ascii="Times New Roman" w:hAnsi="Times New Roman" w:cs="Times New Roman"/>
          <w:b/>
          <w:bCs/>
          <w:i/>
          <w:iCs/>
          <w:sz w:val="24"/>
          <w:szCs w:val="24"/>
          <w:lang w:val="uk-UA"/>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 xml:space="preserve">Номер </w:t>
            </w:r>
            <w:r w:rsidRPr="00DD262C">
              <w:rPr>
                <w:rFonts w:ascii="Times New Roman" w:hAnsi="Times New Roman" w:cs="Times New Roman"/>
                <w:b/>
                <w:bCs/>
                <w:lang w:val="uk-UA"/>
              </w:rPr>
              <w:t>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lang w:val="uk-UA"/>
              </w:rPr>
            </w:pPr>
            <w:r w:rsidRPr="00DD262C">
              <w:rPr>
                <w:rFonts w:ascii="Times New Roman" w:hAnsi="Times New Roman" w:cs="Times New Roman"/>
                <w:b/>
                <w:bCs/>
                <w:lang w:val="uk-UA"/>
              </w:rPr>
              <w:t>Частка у</w:t>
            </w:r>
            <w:r w:rsidRPr="00DD262C">
              <w:rPr>
                <w:rFonts w:ascii="Times New Roman" w:hAnsi="Times New Roman" w:cs="Times New Roman"/>
                <w:b/>
                <w:bCs/>
                <w:lang w:val="uk-UA"/>
              </w:rPr>
              <w:t xml:space="preserve"> статутному капіталі (у відсотках)</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w:t>
            </w:r>
          </w:p>
        </w:tc>
        <w:tc>
          <w:tcPr>
            <w:tcW w:w="1400"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25.06.1998</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342/1/98</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24000</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240000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28.04.1999</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342/1/98</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47500</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475000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23.12.1999</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655/1/99</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201236</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2012360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22.10.2003</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511/1/99</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23.06.2010</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03.02.2011</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10214360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w:t>
            </w:r>
            <w:r w:rsidRPr="00DD262C">
              <w:rPr>
                <w:rFonts w:ascii="Times New Roman" w:hAnsi="Times New Roman" w:cs="Times New Roman"/>
                <w:lang w:val="uk-UA"/>
              </w:rPr>
              <w:t>у лiстингу не проходила</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13.12.2011</w:t>
            </w:r>
          </w:p>
        </w:tc>
        <w:tc>
          <w:tcPr>
            <w:tcW w:w="133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450/1/10</w:t>
            </w:r>
          </w:p>
        </w:tc>
        <w:tc>
          <w:tcPr>
            <w:tcW w:w="2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1652436</w:t>
            </w:r>
          </w:p>
        </w:tc>
        <w:tc>
          <w:tcPr>
            <w:tcW w:w="14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16524360</w:t>
            </w:r>
          </w:p>
        </w:tc>
        <w:tc>
          <w:tcPr>
            <w:tcW w:w="14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w:t>
            </w:r>
          </w:p>
        </w:tc>
      </w:tr>
      <w:tr w:rsidR="00000000" w:rsidRPr="00DD262C">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Опис</w:t>
            </w:r>
          </w:p>
        </w:tc>
        <w:tc>
          <w:tcPr>
            <w:tcW w:w="13880" w:type="dxa"/>
            <w:gridSpan w:val="9"/>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процедуру лiстингу не проходила</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sectPr w:rsidR="00000000" w:rsidRPr="00DD262C">
          <w:pgSz w:w="16838" w:h="11906" w:orient="landscape"/>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VIII. Відомості щодо участі емітента у юридичних особах</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1. Найменування</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"БАЗИС ЦЕНТР"</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2. Організаційно-правова форма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Товариство з обмеженою відповідальністю</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3. Ідентифікаційний код юридичної особи</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40619070</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4. Місцезнаходження</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32407, Хмельницька обл., Д</w:t>
      </w:r>
      <w:r w:rsidRPr="00DD262C">
        <w:rPr>
          <w:rFonts w:ascii="Times New Roman" w:hAnsi="Times New Roman" w:cs="Times New Roman"/>
          <w:sz w:val="24"/>
          <w:szCs w:val="24"/>
          <w:lang w:val="uk-UA"/>
        </w:rPr>
        <w:t>унаєвецький район, село Балинiвка, вул. Кошового, буд. 34</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5. Опис</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r w:rsidRPr="00DD262C">
        <w:rPr>
          <w:rFonts w:ascii="Times New Roman" w:hAnsi="Times New Roman" w:cs="Times New Roman"/>
          <w:sz w:val="24"/>
          <w:szCs w:val="24"/>
          <w:lang w:val="uk-UA"/>
        </w:rPr>
        <w:tab/>
        <w:t>Частка ПрАТ "СК "Сатiс" у статутному капiталi 1000,00 тис.грн., що становить 80% (фактично сплачено 745,7 тис.грн.).</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sectPr w:rsidR="00000000" w:rsidRPr="00DD262C">
          <w:pgSz w:w="12240" w:h="15840"/>
          <w:pgMar w:top="850" w:right="850" w:bottom="850" w:left="1400" w:header="720" w:footer="720" w:gutter="0"/>
          <w:cols w:space="720"/>
          <w:noEndnote/>
        </w:sectPr>
      </w:pPr>
    </w:p>
    <w:tbl>
      <w:tblPr>
        <w:tblW w:w="10000" w:type="dxa"/>
        <w:tblInd w:w="108" w:type="dxa"/>
        <w:tblLayout w:type="fixed"/>
        <w:tblLook w:val="0000" w:firstRow="0" w:lastRow="0" w:firstColumn="0" w:lastColumn="0" w:noHBand="0" w:noVBand="0"/>
      </w:tblPr>
      <w:tblGrid>
        <w:gridCol w:w="2160"/>
        <w:gridCol w:w="4466"/>
        <w:gridCol w:w="1654"/>
        <w:gridCol w:w="1720"/>
      </w:tblGrid>
      <w:tr w:rsidR="00000000" w:rsidRPr="00DD262C" w:rsidTr="00DD262C">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КОДИ</w:t>
            </w:r>
          </w:p>
        </w:tc>
      </w:tr>
      <w:tr w:rsidR="00000000" w:rsidRPr="00DD262C" w:rsidTr="00DD262C">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01.01.2023</w:t>
            </w:r>
          </w:p>
        </w:tc>
      </w:tr>
      <w:tr w:rsidR="00000000" w:rsidRPr="00DD262C" w:rsidTr="00DD262C">
        <w:tblPrEx>
          <w:tblCellMar>
            <w:top w:w="0" w:type="dxa"/>
            <w:bottom w:w="0" w:type="dxa"/>
          </w:tblCellMar>
        </w:tblPrEx>
        <w:trPr>
          <w:trHeight w:val="298"/>
        </w:trPr>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Підприємство</w:t>
            </w:r>
          </w:p>
        </w:tc>
        <w:tc>
          <w:tcPr>
            <w:tcW w:w="4466"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22963118</w:t>
            </w:r>
          </w:p>
        </w:tc>
      </w:tr>
      <w:tr w:rsidR="00000000" w:rsidRPr="00DD262C" w:rsidTr="00DD262C">
        <w:tblPrEx>
          <w:tblCellMar>
            <w:top w:w="0" w:type="dxa"/>
            <w:bottom w:w="0" w:type="dxa"/>
          </w:tblCellMar>
        </w:tblPrEx>
        <w:trPr>
          <w:trHeight w:val="298"/>
        </w:trPr>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Територія</w:t>
            </w:r>
          </w:p>
        </w:tc>
        <w:tc>
          <w:tcPr>
            <w:tcW w:w="4466"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м.Київ</w:t>
            </w:r>
          </w:p>
        </w:tc>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UA80000000000126643</w:t>
            </w:r>
          </w:p>
        </w:tc>
      </w:tr>
      <w:tr w:rsidR="00000000" w:rsidRPr="00DD262C" w:rsidTr="00DD262C">
        <w:tblPrEx>
          <w:tblCellMar>
            <w:top w:w="0" w:type="dxa"/>
            <w:bottom w:w="0" w:type="dxa"/>
          </w:tblCellMar>
        </w:tblPrEx>
        <w:trPr>
          <w:trHeight w:val="298"/>
        </w:trPr>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Організаційно-правова форма господарювання</w:t>
            </w:r>
          </w:p>
        </w:tc>
        <w:tc>
          <w:tcPr>
            <w:tcW w:w="4466"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Акціонерне товариство</w:t>
            </w:r>
          </w:p>
        </w:tc>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230</w:t>
            </w:r>
          </w:p>
        </w:tc>
      </w:tr>
      <w:tr w:rsidR="00000000" w:rsidRPr="00DD262C" w:rsidTr="00DD262C">
        <w:tblPrEx>
          <w:tblCellMar>
            <w:top w:w="0" w:type="dxa"/>
            <w:bottom w:w="0" w:type="dxa"/>
          </w:tblCellMar>
        </w:tblPrEx>
        <w:trPr>
          <w:trHeight w:val="298"/>
        </w:trPr>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Вид економічної діяльності</w:t>
            </w:r>
          </w:p>
        </w:tc>
        <w:tc>
          <w:tcPr>
            <w:tcW w:w="4466"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види страхування, крім страхування життя</w:t>
            </w:r>
          </w:p>
        </w:tc>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65.12</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Середня кількість працівників: </w:t>
      </w:r>
      <w:r w:rsidRPr="00DD262C">
        <w:rPr>
          <w:rFonts w:ascii="Times New Roman" w:hAnsi="Times New Roman" w:cs="Times New Roman"/>
          <w:lang w:val="uk-UA"/>
        </w:rPr>
        <w:t>15</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Адреса, телефон: </w:t>
      </w:r>
      <w:r w:rsidRPr="00DD262C">
        <w:rPr>
          <w:rFonts w:ascii="Times New Roman" w:hAnsi="Times New Roman" w:cs="Times New Roman"/>
          <w:lang w:val="uk-UA"/>
        </w:rPr>
        <w:t>03028 мiсто Київ, Саперно-Слобiдська, 22, 0445021038</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Одиниця виміру: </w:t>
      </w:r>
      <w:r w:rsidRPr="00DD262C">
        <w:rPr>
          <w:rFonts w:ascii="Times New Roman" w:hAnsi="Times New Roman" w:cs="Times New Roman"/>
          <w:lang w:val="uk-UA"/>
        </w:rPr>
        <w:t>тис.грн. без десяткового знака</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Складено </w:t>
      </w:r>
      <w:r w:rsidRPr="00DD262C">
        <w:rPr>
          <w:rFonts w:ascii="Times New Roman" w:hAnsi="Times New Roman" w:cs="Times New Roman"/>
          <w:lang w:val="uk-UA"/>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rsidRPr="00DD262C">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v</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Баланс</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(Звіт про фінансовий стан)</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sz w:val="24"/>
          <w:szCs w:val="24"/>
          <w:lang w:val="uk-UA"/>
        </w:rPr>
        <w:t>на 31.12.2022 p.</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rsidRPr="00DD262C">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Код за ДКУД</w:t>
            </w:r>
          </w:p>
        </w:tc>
        <w:tc>
          <w:tcPr>
            <w:tcW w:w="1349"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1801001</w:t>
            </w:r>
          </w:p>
        </w:tc>
      </w:tr>
      <w:tr w:rsidR="00000000" w:rsidRPr="00DD262C">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 кінець звітного періоду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136</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136</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( 7 )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( 7 )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10 449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4 382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20 271</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15 066</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( 9 822 )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( 10 684 )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25 140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31 560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25 140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31 560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739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746</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36 457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36 817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46</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121</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194</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211</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188</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7 559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5 634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4 929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6 943</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4 923</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6 934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142</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540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142</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540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12 991</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13 540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49 448</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50 357</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DD262C">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 кінець звітного періоду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16 524</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16 524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5 265</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5 265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19 287</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19 287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6 579</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6 579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-1 245</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46 410</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47 605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149</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149</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1 020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1 300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979</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1 300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1 169</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1 544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828</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758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431</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1 025</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1 869</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1 208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49 448</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50 357</w:t>
            </w:r>
          </w:p>
        </w:tc>
      </w:tr>
    </w:tbl>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Примітки: 0</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Керівник</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t>Яхниця Iгор Олекандрович</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Головний бухгалтер</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sectPr w:rsidR="00000000" w:rsidRPr="00DD262C">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rsidRPr="00DD262C">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КОДИ</w:t>
            </w:r>
          </w:p>
        </w:tc>
      </w:tr>
      <w:tr w:rsidR="00000000" w:rsidRPr="00DD262C">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01.01.2023</w:t>
            </w:r>
          </w:p>
        </w:tc>
      </w:tr>
      <w:tr w:rsidR="00000000" w:rsidRPr="00DD262C">
        <w:tblPrEx>
          <w:tblCellMar>
            <w:top w:w="0" w:type="dxa"/>
            <w:bottom w:w="0" w:type="dxa"/>
          </w:tblCellMar>
        </w:tblPrEx>
        <w:trPr>
          <w:trHeight w:val="298"/>
        </w:trPr>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Підприємство</w:t>
            </w:r>
          </w:p>
        </w:tc>
        <w:tc>
          <w:tcPr>
            <w:tcW w:w="4466"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b/>
                <w:bCs/>
                <w:lang w:val="uk-UA"/>
              </w:rPr>
            </w:pPr>
            <w:r w:rsidRPr="00DD262C">
              <w:rPr>
                <w:rFonts w:ascii="Times New Roman" w:hAnsi="Times New Roman" w:cs="Times New Roman"/>
                <w:b/>
                <w:bCs/>
                <w:lang w:val="uk-UA"/>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22963118</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Звіт про фінансові результати</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(Звіт про сукупний дохід)</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2022 рік</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Форма №2</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rsidRPr="00DD262C">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Код за ДКУД</w:t>
            </w:r>
          </w:p>
        </w:tc>
        <w:tc>
          <w:tcPr>
            <w:tcW w:w="1349"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1801003</w:t>
            </w:r>
          </w:p>
        </w:tc>
      </w:tr>
      <w:tr w:rsidR="00000000" w:rsidRPr="00DD262C">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аналогічний період попереднього року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11 861</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7 268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14 808</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7 729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( 3 023 )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( 248 )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322</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398</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( 3 198 )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( 235 )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( 611 )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Валовий:</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8 428</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6 657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773</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1 882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670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1 800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( 4 414 )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( 3 828 )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( 661 )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( 1 211 )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( 3 223 )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( 2 053 )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530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Фінансовий результат від операційної діяльності:</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903</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1 447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321</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273</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( 1 032 )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Фінансовий результат до оподаткування:</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1 231</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688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-36</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Чистий фінансовий результат:</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640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bl>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DD262C">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аналогічний період попереднього року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919</w:t>
            </w:r>
          </w:p>
        </w:tc>
      </w:tr>
    </w:tbl>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DD262C">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аналогічний період попереднього року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660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233</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1 967</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1 744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336</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862</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929</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7 906</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5 520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11 731</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8 735</w:t>
            </w:r>
          </w:p>
        </w:tc>
      </w:tr>
    </w:tbl>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DD262C">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аналогічний період попереднього року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0,000000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0,000000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0,000000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0,000000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w:t>
            </w:r>
          </w:p>
        </w:tc>
        <w:tc>
          <w:tcPr>
            <w:tcW w:w="1645" w:type="dxa"/>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0,00</w:t>
            </w:r>
          </w:p>
        </w:tc>
      </w:tr>
    </w:tbl>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Примітки: 0</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Керівник</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t>Яхниця Iгор Олекандрович</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Головний бухгалтер</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sectPr w:rsidR="00000000" w:rsidRPr="00DD262C">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DD262C">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КОДИ</w:t>
            </w:r>
          </w:p>
        </w:tc>
      </w:tr>
      <w:tr w:rsidR="00000000" w:rsidRPr="00DD262C">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01.01.2023</w:t>
            </w:r>
          </w:p>
        </w:tc>
      </w:tr>
      <w:tr w:rsidR="00000000" w:rsidRPr="00DD262C">
        <w:tblPrEx>
          <w:tblCellMar>
            <w:top w:w="0" w:type="dxa"/>
            <w:bottom w:w="0" w:type="dxa"/>
          </w:tblCellMar>
        </w:tblPrEx>
        <w:tc>
          <w:tcPr>
            <w:tcW w:w="216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Підприємство</w:t>
            </w:r>
          </w:p>
        </w:tc>
        <w:tc>
          <w:tcPr>
            <w:tcW w:w="4490" w:type="dxa"/>
            <w:vMerge w:val="restart"/>
            <w:tcBorders>
              <w:top w:val="nil"/>
              <w:left w:val="nil"/>
              <w:bottom w:val="nil"/>
              <w:right w:val="nil"/>
            </w:tcBorders>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22963118</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Звіт про рух грошових коштів (за прямим методом)</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2022 рік</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DD262C">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Код за ДКУД</w:t>
            </w:r>
          </w:p>
        </w:tc>
        <w:tc>
          <w:tcPr>
            <w:tcW w:w="100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1801004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аналогічний період попереднього року</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I. Рух коштів у результаті операційної діяльності</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6 980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500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24</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14 004</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27 155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538</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452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( 2 739 )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( 2 560 )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( 1 148 )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( 1 019 )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( 310 )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( 296 )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( 348 )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( 265 )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w:t>
            </w:r>
            <w:r w:rsidRPr="00DD262C">
              <w:rPr>
                <w:rFonts w:ascii="Times New Roman" w:hAnsi="Times New Roman" w:cs="Times New Roman"/>
                <w:lang w:val="uk-UA"/>
              </w:rPr>
              <w:t>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( 48 )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( 265 )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( 142 )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( 14 769 )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( 22 398 )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фінансових установ на над</w:t>
            </w:r>
            <w:r w:rsidRPr="00DD262C">
              <w:rPr>
                <w:rFonts w:ascii="Times New Roman" w:hAnsi="Times New Roman" w:cs="Times New Roman"/>
                <w:lang w:val="uk-UA"/>
              </w:rPr>
              <w:t>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( 1 029 )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( 1 155 )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1 705</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-228</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II. Рух коштів у результаті інвестиційної діяльності</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295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309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295</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III. Рух коштів у результаті фінансової діяльності</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( 0 )</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2 014</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67</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4 929</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4 862</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6 943</w:t>
            </w:r>
          </w:p>
        </w:tc>
        <w:tc>
          <w:tcPr>
            <w:tcW w:w="1645"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4 929</w:t>
            </w:r>
          </w:p>
        </w:tc>
      </w:tr>
    </w:tbl>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Примітки: 0</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Керівник</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t>Яхниця Iгор Олекандрович</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Головний бухгалтер</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sectPr w:rsidR="00000000" w:rsidRPr="00DD262C">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rsidRPr="00DD262C">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КОДИ</w:t>
            </w:r>
          </w:p>
        </w:tc>
      </w:tr>
      <w:tr w:rsidR="00000000" w:rsidRPr="00DD262C">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01.01.2023</w:t>
            </w:r>
          </w:p>
        </w:tc>
      </w:tr>
      <w:tr w:rsidR="00000000" w:rsidRPr="00DD262C">
        <w:tblPrEx>
          <w:tblCellMar>
            <w:top w:w="0" w:type="dxa"/>
            <w:bottom w:w="0" w:type="dxa"/>
          </w:tblCellMar>
        </w:tblPrEx>
        <w:tc>
          <w:tcPr>
            <w:tcW w:w="2240" w:type="dxa"/>
            <w:tcBorders>
              <w:top w:val="nil"/>
              <w:left w:val="nil"/>
              <w:bottom w:val="nil"/>
              <w:right w:val="nil"/>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Підприємство</w:t>
            </w:r>
          </w:p>
        </w:tc>
        <w:tc>
          <w:tcPr>
            <w:tcW w:w="5500" w:type="dxa"/>
            <w:vMerge w:val="restart"/>
            <w:tcBorders>
              <w:top w:val="nil"/>
              <w:left w:val="nil"/>
              <w:bottom w:val="nil"/>
              <w:right w:val="nil"/>
            </w:tcBorders>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22963118</w:t>
            </w:r>
          </w:p>
        </w:tc>
      </w:tr>
    </w:tbl>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4"/>
          <w:szCs w:val="24"/>
          <w:lang w:val="uk-UA"/>
        </w:rPr>
      </w:pPr>
      <w:r w:rsidRPr="00DD262C">
        <w:rPr>
          <w:rFonts w:ascii="Times New Roman" w:hAnsi="Times New Roman" w:cs="Times New Roman"/>
          <w:b/>
          <w:bCs/>
          <w:sz w:val="24"/>
          <w:szCs w:val="24"/>
          <w:lang w:val="uk-UA"/>
        </w:rPr>
        <w:t>Звіт про власний капітал</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 2022 рік</w:t>
      </w:r>
    </w:p>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rsidRPr="00DD262C">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Код за ДКУД</w:t>
            </w:r>
          </w:p>
        </w:tc>
        <w:tc>
          <w:tcPr>
            <w:tcW w:w="1300" w:type="dxa"/>
            <w:gridSpan w:val="2"/>
            <w:tcBorders>
              <w:top w:val="single" w:sz="6" w:space="0" w:color="auto"/>
              <w:left w:val="single" w:sz="6" w:space="0" w:color="auto"/>
              <w:bottom w:val="single" w:sz="6" w:space="0" w:color="auto"/>
            </w:tcBorders>
            <w:vAlign w:val="center"/>
          </w:tcPr>
          <w:p w:rsidR="00000000" w:rsidRPr="00DD262C" w:rsidRDefault="009C5202">
            <w:pPr>
              <w:widowControl w:val="0"/>
              <w:autoSpaceDE w:val="0"/>
              <w:autoSpaceDN w:val="0"/>
              <w:adjustRightInd w:val="0"/>
              <w:spacing w:after="0" w:line="240" w:lineRule="auto"/>
              <w:jc w:val="right"/>
              <w:rPr>
                <w:rFonts w:ascii="Times New Roman" w:hAnsi="Times New Roman" w:cs="Times New Roman"/>
                <w:lang w:val="uk-UA"/>
              </w:rPr>
            </w:pPr>
            <w:r w:rsidRPr="00DD262C">
              <w:rPr>
                <w:rFonts w:ascii="Times New Roman" w:hAnsi="Times New Roman" w:cs="Times New Roman"/>
                <w:lang w:val="uk-UA"/>
              </w:rPr>
              <w:t>1801005</w:t>
            </w:r>
          </w:p>
        </w:tc>
      </w:tr>
      <w:tr w:rsidR="00000000" w:rsidRPr="00DD262C">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Всього</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9</w:t>
            </w:r>
          </w:p>
        </w:tc>
        <w:tc>
          <w:tcPr>
            <w:tcW w:w="1250" w:type="dxa"/>
            <w:tcBorders>
              <w:top w:val="single" w:sz="6" w:space="0" w:color="auto"/>
              <w:left w:val="single" w:sz="6" w:space="0" w:color="auto"/>
              <w:bottom w:val="single" w:sz="6" w:space="0" w:color="auto"/>
            </w:tcBorders>
            <w:shd w:val="clear" w:color="auto" w:fill="E6E6E6"/>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b/>
                <w:bCs/>
                <w:lang w:val="uk-UA"/>
              </w:rPr>
            </w:pPr>
            <w:r w:rsidRPr="00DD262C">
              <w:rPr>
                <w:rFonts w:ascii="Times New Roman" w:hAnsi="Times New Roman" w:cs="Times New Roman"/>
                <w:b/>
                <w:bCs/>
                <w:lang w:val="uk-UA"/>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4000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-1 245</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46 410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Коригування:</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4005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4010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4090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4095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-1 245</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46 410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4100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4111</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4112</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4113</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4114</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4116</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Розподіл прибутку: </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4200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4205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4210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4215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4220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4225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Внески учасників: </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4240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4245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Вилучення капіталу: </w:t>
            </w:r>
          </w:p>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4260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4265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4270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4275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4280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4290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lang w:val="uk-UA"/>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4291</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4295</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1 195</w:t>
            </w:r>
          </w:p>
        </w:tc>
      </w:tr>
      <w:tr w:rsidR="00000000" w:rsidRPr="00DD262C">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Pr="00DD262C" w:rsidRDefault="009C5202">
            <w:pPr>
              <w:widowControl w:val="0"/>
              <w:autoSpaceDE w:val="0"/>
              <w:autoSpaceDN w:val="0"/>
              <w:adjustRightInd w:val="0"/>
              <w:spacing w:after="0" w:line="240" w:lineRule="auto"/>
              <w:rPr>
                <w:rFonts w:ascii="Times New Roman" w:hAnsi="Times New Roman" w:cs="Times New Roman"/>
                <w:lang w:val="uk-UA"/>
              </w:rPr>
            </w:pPr>
            <w:r w:rsidRPr="00DD262C">
              <w:rPr>
                <w:rFonts w:ascii="Times New Roman" w:hAnsi="Times New Roman" w:cs="Times New Roman"/>
                <w:b/>
                <w:bCs/>
                <w:lang w:val="uk-UA"/>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4300</w:t>
            </w:r>
          </w:p>
        </w:tc>
        <w:tc>
          <w:tcPr>
            <w:tcW w:w="11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16 524</w:t>
            </w:r>
          </w:p>
        </w:tc>
        <w:tc>
          <w:tcPr>
            <w:tcW w:w="135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5 265</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19 287</w:t>
            </w:r>
          </w:p>
        </w:tc>
        <w:tc>
          <w:tcPr>
            <w:tcW w:w="12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6 579</w:t>
            </w:r>
          </w:p>
        </w:tc>
        <w:tc>
          <w:tcPr>
            <w:tcW w:w="1300" w:type="dxa"/>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0</w:t>
            </w:r>
          </w:p>
        </w:tc>
        <w:tc>
          <w:tcPr>
            <w:tcW w:w="1250" w:type="dxa"/>
            <w:tcBorders>
              <w:top w:val="single" w:sz="6" w:space="0" w:color="auto"/>
              <w:left w:val="single" w:sz="6" w:space="0" w:color="auto"/>
              <w:bottom w:val="single" w:sz="6" w:space="0" w:color="auto"/>
            </w:tcBorders>
          </w:tcPr>
          <w:p w:rsidR="00000000" w:rsidRPr="00DD262C" w:rsidRDefault="009C5202">
            <w:pPr>
              <w:widowControl w:val="0"/>
              <w:autoSpaceDE w:val="0"/>
              <w:autoSpaceDN w:val="0"/>
              <w:adjustRightInd w:val="0"/>
              <w:spacing w:after="0" w:line="240" w:lineRule="auto"/>
              <w:jc w:val="center"/>
              <w:rPr>
                <w:rFonts w:ascii="Times New Roman" w:hAnsi="Times New Roman" w:cs="Times New Roman"/>
                <w:lang w:val="uk-UA"/>
              </w:rPr>
            </w:pPr>
            <w:r w:rsidRPr="00DD262C">
              <w:rPr>
                <w:rFonts w:ascii="Times New Roman" w:hAnsi="Times New Roman" w:cs="Times New Roman"/>
                <w:lang w:val="uk-UA"/>
              </w:rPr>
              <w:t>47 605</w:t>
            </w:r>
          </w:p>
        </w:tc>
      </w:tr>
    </w:tbl>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Примітки: 0</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Керівник</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t>Яхниця Iгор Олекандрович</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pPr>
      <w:r w:rsidRPr="00DD262C">
        <w:rPr>
          <w:rFonts w:ascii="Times New Roman" w:hAnsi="Times New Roman" w:cs="Times New Roman"/>
          <w:lang w:val="uk-UA"/>
        </w:rPr>
        <w:t>Головний бухгалтер</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p>
    <w:p w:rsidR="00000000" w:rsidRPr="00DD262C" w:rsidRDefault="009C5202">
      <w:pPr>
        <w:widowControl w:val="0"/>
        <w:autoSpaceDE w:val="0"/>
        <w:autoSpaceDN w:val="0"/>
        <w:adjustRightInd w:val="0"/>
        <w:spacing w:after="0" w:line="240" w:lineRule="auto"/>
        <w:jc w:val="both"/>
        <w:rPr>
          <w:rFonts w:ascii="Times New Roman" w:hAnsi="Times New Roman" w:cs="Times New Roman"/>
          <w:lang w:val="uk-UA"/>
        </w:rPr>
        <w:sectPr w:rsidR="00000000" w:rsidRPr="00DD262C">
          <w:pgSz w:w="16838" w:h="11906" w:orient="landscape"/>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Примітки до фінансової звітності, складеної відповідно до міжнародних стандартів фінансової звітності</w:t>
      </w:r>
    </w:p>
    <w:p w:rsidR="00DD262C" w:rsidRPr="00DD262C" w:rsidRDefault="00DD262C" w:rsidP="00DD262C">
      <w:pPr>
        <w:pStyle w:val="1"/>
        <w:numPr>
          <w:ilvl w:val="0"/>
          <w:numId w:val="0"/>
        </w:numPr>
        <w:tabs>
          <w:tab w:val="num" w:pos="3627"/>
        </w:tabs>
        <w:spacing w:before="0" w:after="0"/>
        <w:jc w:val="center"/>
        <w:rPr>
          <w:sz w:val="26"/>
          <w:szCs w:val="26"/>
        </w:rPr>
      </w:pPr>
      <w:bookmarkStart w:id="0" w:name="_Toc320725115"/>
      <w:bookmarkStart w:id="1" w:name="_Ref320721287"/>
      <w:bookmarkStart w:id="2" w:name="_Toc320725124"/>
      <w:r w:rsidRPr="00DD262C">
        <w:rPr>
          <w:sz w:val="26"/>
          <w:szCs w:val="26"/>
        </w:rPr>
        <w:t>Зміст приміток до фінансової звітності</w:t>
      </w:r>
    </w:p>
    <w:p w:rsidR="00DD262C" w:rsidRPr="00DD262C" w:rsidRDefault="00DD262C" w:rsidP="00DD262C">
      <w:pPr>
        <w:pStyle w:val="1"/>
        <w:numPr>
          <w:ilvl w:val="0"/>
          <w:numId w:val="0"/>
        </w:numPr>
        <w:spacing w:before="0" w:after="0"/>
        <w:rPr>
          <w:sz w:val="23"/>
          <w:szCs w:val="23"/>
        </w:rPr>
      </w:pPr>
      <w:r w:rsidRPr="00DD262C">
        <w:rPr>
          <w:sz w:val="24"/>
        </w:rPr>
        <w:t>1</w:t>
      </w:r>
      <w:r w:rsidRPr="00DD262C">
        <w:rPr>
          <w:sz w:val="23"/>
          <w:szCs w:val="23"/>
        </w:rPr>
        <w:t>. Інформація про Компанію</w:t>
      </w:r>
    </w:p>
    <w:p w:rsidR="00DD262C" w:rsidRPr="00DD262C" w:rsidRDefault="00DD262C" w:rsidP="00DD262C">
      <w:pPr>
        <w:pStyle w:val="1"/>
        <w:numPr>
          <w:ilvl w:val="0"/>
          <w:numId w:val="0"/>
        </w:numPr>
        <w:spacing w:before="0" w:after="0"/>
        <w:rPr>
          <w:sz w:val="23"/>
          <w:szCs w:val="23"/>
        </w:rPr>
      </w:pPr>
      <w:r w:rsidRPr="00DD262C">
        <w:rPr>
          <w:sz w:val="23"/>
          <w:szCs w:val="23"/>
        </w:rPr>
        <w:t>2. Основи подання фінансової звітності.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 xml:space="preserve">2.1. Достовірне подання та відповідність МСФЗ. </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 xml:space="preserve">2.2. </w:t>
      </w:r>
      <w:r w:rsidRPr="00DD262C">
        <w:rPr>
          <w:rFonts w:ascii="Times New Roman" w:hAnsi="Times New Roman" w:cs="Times New Roman"/>
          <w:b/>
          <w:kern w:val="28"/>
          <w:sz w:val="23"/>
          <w:szCs w:val="23"/>
          <w:lang w:val="uk-UA"/>
        </w:rPr>
        <w:t>Сутність і вплив нових стандартів МСФЗ.</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2.3  Валюта подання звітності та функціональна валюта, ступінь округлення.</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2.4. Припущення про безперервність діяльності.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2.5  Рішення про затвердження фінансової звітності.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2.6. Звітний період фінансової звітності.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3. Принципи облікової політики.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3.1. Основи оцінки складання фінансової звітності.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3.2. Грошові кошти та їх еквіваленти.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3.3. Фінансові активи.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3.4. Основні засоби.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3.5. Нематеріальні активи.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3.6. Інвестиційна нерухомість.</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3.7. Оренда.</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3.8. Фінансові зобов’язання.</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3.9. Податок на прибуток.</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3.10. Статутний капітал та емісійний дохід.</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3.11. Валюта виміру та подання.</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3.12. Резерви.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3.13. Перевірка адекватності страхових зобов’язань.</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ab/>
        <w:t>3.14  Інформація за операційними сегментами.</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ab/>
        <w:t>3.15  Суттєвість.</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4. Ефект змін в обліковій політиці, облікових оцінках та виправлення суттєвих помилок.</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5. Розкриття інформації щодо використання справедливої вартості.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5.1. Методики оцінювання та вхідні дані, використані для складання оцінок за справедливою вартістю.</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5.2. Рівень ієрархії справедливої вартості, до якого належать оцінки справедливої вартості.</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w:t>
      </w:r>
      <w:r w:rsidRPr="00DD262C">
        <w:rPr>
          <w:rFonts w:ascii="Times New Roman" w:hAnsi="Times New Roman" w:cs="Times New Roman"/>
          <w:b/>
          <w:sz w:val="23"/>
          <w:szCs w:val="23"/>
          <w:lang w:val="uk-UA"/>
        </w:rPr>
        <w:tab/>
        <w:t xml:space="preserve">5.3. Інші розкриття, що вимагаються МСФЗ 13 «Оцінка справедливої вартості».               </w:t>
      </w:r>
    </w:p>
    <w:p w:rsidR="00DD262C" w:rsidRPr="00DD262C" w:rsidRDefault="00DD262C" w:rsidP="00DD262C">
      <w:pPr>
        <w:spacing w:after="0" w:line="240" w:lineRule="auto"/>
        <w:rPr>
          <w:rFonts w:ascii="Times New Roman" w:hAnsi="Times New Roman" w:cs="Times New Roman"/>
          <w:b/>
          <w:sz w:val="23"/>
          <w:szCs w:val="23"/>
          <w:lang w:val="uk-UA"/>
        </w:rPr>
      </w:pPr>
      <w:r w:rsidRPr="00DD262C">
        <w:rPr>
          <w:rFonts w:ascii="Times New Roman" w:hAnsi="Times New Roman" w:cs="Times New Roman"/>
          <w:b/>
          <w:sz w:val="23"/>
          <w:szCs w:val="23"/>
          <w:lang w:val="uk-UA"/>
        </w:rPr>
        <w:t>6. Розкриття інформації, що підтверджує статті подані у фінансових звітах</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 Основні засоби та нематеріальні активи.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6.2. Інвестиційна нерухомість.</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6.3. Фінансові активи.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6.4. Оренда.</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6.5. Запаси.</w:t>
      </w:r>
    </w:p>
    <w:p w:rsidR="00DD262C" w:rsidRPr="00DD262C" w:rsidRDefault="00DD262C" w:rsidP="00DD262C">
      <w:pPr>
        <w:spacing w:after="0" w:line="240" w:lineRule="auto"/>
        <w:ind w:left="720"/>
        <w:rPr>
          <w:rFonts w:ascii="Times New Roman" w:hAnsi="Times New Roman" w:cs="Times New Roman"/>
          <w:b/>
          <w:sz w:val="23"/>
          <w:szCs w:val="23"/>
          <w:lang w:val="uk-UA"/>
        </w:rPr>
      </w:pPr>
      <w:r w:rsidRPr="00DD262C">
        <w:rPr>
          <w:rFonts w:ascii="Times New Roman" w:eastAsia="Times New Roman" w:hAnsi="Times New Roman" w:cs="Times New Roman"/>
          <w:b/>
          <w:bCs/>
          <w:iCs/>
          <w:color w:val="000000" w:themeColor="text1"/>
          <w:lang w:val="uk-UA"/>
        </w:rPr>
        <w:t>6.6. Дебіторська заборгованість</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6.7. Грошові кошти та їх еквіваленти.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6.8.  Статутний капітал та емісійні різниці (емісійний дохід), зміни у власному капіталі.</w:t>
      </w:r>
    </w:p>
    <w:p w:rsidR="00DD262C" w:rsidRPr="00DD262C" w:rsidRDefault="00DD262C" w:rsidP="00DD262C">
      <w:pPr>
        <w:spacing w:after="0" w:line="240" w:lineRule="auto"/>
        <w:ind w:firstLine="709"/>
        <w:rPr>
          <w:rFonts w:ascii="Times New Roman" w:hAnsi="Times New Roman" w:cs="Times New Roman"/>
          <w:b/>
          <w:bCs/>
          <w:color w:val="000000"/>
          <w:lang w:val="uk-UA"/>
        </w:rPr>
      </w:pPr>
      <w:r w:rsidRPr="00DD262C">
        <w:rPr>
          <w:rFonts w:ascii="Times New Roman" w:hAnsi="Times New Roman" w:cs="Times New Roman"/>
          <w:b/>
          <w:lang w:val="uk-UA"/>
        </w:rPr>
        <w:t xml:space="preserve">6.9. </w:t>
      </w:r>
      <w:r w:rsidRPr="00DD262C">
        <w:rPr>
          <w:rFonts w:ascii="Times New Roman" w:hAnsi="Times New Roman" w:cs="Times New Roman"/>
          <w:b/>
          <w:bCs/>
          <w:color w:val="000000"/>
          <w:lang w:val="uk-UA"/>
        </w:rPr>
        <w:t>Довгострокові зобов’язання і забезпечення</w:t>
      </w:r>
    </w:p>
    <w:p w:rsidR="00DD262C" w:rsidRPr="00DD262C" w:rsidRDefault="00DD262C" w:rsidP="00DD262C">
      <w:pPr>
        <w:widowControl w:val="0"/>
        <w:suppressLineNumbers/>
        <w:spacing w:after="0" w:line="240" w:lineRule="auto"/>
        <w:ind w:firstLine="540"/>
        <w:jc w:val="both"/>
        <w:rPr>
          <w:rFonts w:ascii="Times New Roman" w:hAnsi="Times New Roman" w:cs="Times New Roman"/>
          <w:b/>
          <w:sz w:val="23"/>
          <w:szCs w:val="23"/>
          <w:lang w:val="uk-UA"/>
        </w:rPr>
      </w:pPr>
      <w:r w:rsidRPr="00DD262C">
        <w:rPr>
          <w:rFonts w:ascii="Times New Roman" w:eastAsia="Times New Roman" w:hAnsi="Times New Roman" w:cs="Times New Roman"/>
          <w:b/>
          <w:i/>
          <w:color w:val="000000" w:themeColor="text1"/>
          <w:lang w:val="uk-UA"/>
        </w:rPr>
        <w:t xml:space="preserve">   </w:t>
      </w:r>
      <w:r w:rsidRPr="00DD262C">
        <w:rPr>
          <w:rFonts w:ascii="Times New Roman" w:eastAsia="Times New Roman" w:hAnsi="Times New Roman" w:cs="Times New Roman"/>
          <w:b/>
          <w:color w:val="000000" w:themeColor="text1"/>
          <w:lang w:val="uk-UA"/>
        </w:rPr>
        <w:t>6.10. Поточні зобов’язання і забезпечення</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6.11. Тест на адекватність зобов’язань</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 12. Потенційні зобов’язання Страхової  компанії.</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lang w:val="uk-UA"/>
        </w:rPr>
        <w:t xml:space="preserve">6.13. Доход </w:t>
      </w:r>
      <w:r w:rsidRPr="00DD262C">
        <w:rPr>
          <w:rFonts w:ascii="Times New Roman" w:eastAsia="Times New Roman" w:hAnsi="Times New Roman" w:cs="Times New Roman"/>
          <w:b/>
          <w:sz w:val="20"/>
          <w:szCs w:val="20"/>
          <w:lang w:val="uk-UA"/>
        </w:rPr>
        <w:t xml:space="preserve"> від страхових премій</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6.14. Інші операційні доходи .</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6.15. Адміністративні, витрати на збут та інші операційні витрати.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6.16. Фінансові доходи і витрати, інші доходи та витрати.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6.17. Витрати на податок на прибуток та визначення чистого прибутку (збитку).</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6.18. Операційні сегменти.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6.19. Цілі та політики управління фінансовими ризиками.</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6.20. Управління капіталом</w:t>
      </w:r>
    </w:p>
    <w:p w:rsidR="00DD262C" w:rsidRPr="00DD262C" w:rsidRDefault="00DD262C" w:rsidP="00DD262C">
      <w:pPr>
        <w:spacing w:after="0" w:line="240" w:lineRule="auto"/>
        <w:ind w:left="709"/>
        <w:rPr>
          <w:rFonts w:ascii="Times New Roman" w:hAnsi="Times New Roman" w:cs="Times New Roman"/>
          <w:b/>
          <w:sz w:val="23"/>
          <w:szCs w:val="23"/>
          <w:lang w:val="uk-UA"/>
        </w:rPr>
      </w:pPr>
      <w:r w:rsidRPr="00DD262C">
        <w:rPr>
          <w:rFonts w:ascii="Times New Roman" w:hAnsi="Times New Roman" w:cs="Times New Roman"/>
          <w:b/>
          <w:bCs/>
          <w:sz w:val="23"/>
          <w:szCs w:val="23"/>
          <w:lang w:val="uk-UA"/>
        </w:rPr>
        <w:t>6.21. Операційні  ризики</w:t>
      </w:r>
      <w:r w:rsidRPr="00DD262C">
        <w:rPr>
          <w:rFonts w:ascii="Times New Roman" w:hAnsi="Times New Roman" w:cs="Times New Roman"/>
          <w:b/>
          <w:sz w:val="23"/>
          <w:szCs w:val="23"/>
          <w:lang w:val="uk-UA"/>
        </w:rPr>
        <w:t xml:space="preserve">  </w:t>
      </w:r>
      <w:r w:rsidRPr="00DD262C">
        <w:rPr>
          <w:rFonts w:ascii="Times New Roman" w:hAnsi="Times New Roman" w:cs="Times New Roman"/>
          <w:b/>
          <w:bCs/>
          <w:sz w:val="23"/>
          <w:szCs w:val="23"/>
          <w:lang w:val="uk-UA"/>
        </w:rPr>
        <w:t>та   політична  ситуація в Україні.</w:t>
      </w:r>
    </w:p>
    <w:p w:rsidR="00DD262C" w:rsidRPr="00DD262C" w:rsidRDefault="00DD262C" w:rsidP="00DD262C">
      <w:pPr>
        <w:spacing w:after="0" w:line="240" w:lineRule="auto"/>
        <w:ind w:firstLine="709"/>
        <w:rPr>
          <w:rFonts w:ascii="Times New Roman" w:hAnsi="Times New Roman" w:cs="Times New Roman"/>
          <w:b/>
          <w:bCs/>
          <w:iCs/>
          <w:spacing w:val="2"/>
          <w:sz w:val="23"/>
          <w:szCs w:val="23"/>
          <w:lang w:val="uk-UA"/>
        </w:rPr>
      </w:pPr>
      <w:r w:rsidRPr="00DD262C">
        <w:rPr>
          <w:rFonts w:ascii="Times New Roman" w:hAnsi="Times New Roman" w:cs="Times New Roman"/>
          <w:b/>
          <w:sz w:val="23"/>
          <w:szCs w:val="23"/>
          <w:lang w:val="uk-UA"/>
        </w:rPr>
        <w:t xml:space="preserve">6.22. </w:t>
      </w:r>
      <w:r w:rsidRPr="00DD262C">
        <w:rPr>
          <w:rFonts w:ascii="Times New Roman" w:hAnsi="Times New Roman" w:cs="Times New Roman"/>
          <w:b/>
          <w:bCs/>
          <w:iCs/>
          <w:spacing w:val="2"/>
          <w:sz w:val="23"/>
          <w:szCs w:val="23"/>
          <w:lang w:val="uk-UA"/>
        </w:rPr>
        <w:t xml:space="preserve">Очікуваний вплив спалаху коронавірусу COVID-19 </w:t>
      </w:r>
    </w:p>
    <w:p w:rsidR="00DD262C" w:rsidRPr="00DD262C" w:rsidRDefault="00DD262C" w:rsidP="00DD262C">
      <w:pPr>
        <w:spacing w:after="0" w:line="240" w:lineRule="auto"/>
        <w:ind w:firstLine="540"/>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6.23. Операції з пов’язаними сторонами.</w:t>
      </w:r>
    </w:p>
    <w:p w:rsidR="00DD262C" w:rsidRPr="00DD262C" w:rsidRDefault="00DD262C" w:rsidP="00DD262C">
      <w:pPr>
        <w:spacing w:after="0" w:line="240" w:lineRule="auto"/>
        <w:ind w:firstLine="540"/>
        <w:jc w:val="both"/>
        <w:rPr>
          <w:rFonts w:ascii="Times New Roman" w:hAnsi="Times New Roman" w:cs="Times New Roman"/>
          <w:b/>
          <w:sz w:val="23"/>
          <w:szCs w:val="23"/>
          <w:lang w:val="uk-UA"/>
        </w:rPr>
      </w:pPr>
      <w:r w:rsidRPr="00DD262C">
        <w:rPr>
          <w:rFonts w:ascii="Times New Roman" w:hAnsi="Times New Roman" w:cs="Times New Roman"/>
          <w:b/>
          <w:sz w:val="23"/>
          <w:szCs w:val="23"/>
          <w:lang w:val="uk-UA"/>
        </w:rPr>
        <w:t xml:space="preserve">   6.24. Здатність товариства продовжувати діяльність на безперервній основі.</w:t>
      </w:r>
    </w:p>
    <w:p w:rsidR="00DD262C" w:rsidRPr="00DD262C" w:rsidRDefault="00DD262C" w:rsidP="00DD262C">
      <w:pPr>
        <w:spacing w:after="0" w:line="240" w:lineRule="auto"/>
        <w:ind w:firstLine="709"/>
        <w:rPr>
          <w:rFonts w:ascii="Times New Roman" w:hAnsi="Times New Roman" w:cs="Times New Roman"/>
          <w:b/>
          <w:sz w:val="23"/>
          <w:szCs w:val="23"/>
          <w:lang w:val="uk-UA"/>
        </w:rPr>
      </w:pPr>
      <w:r w:rsidRPr="00DD262C">
        <w:rPr>
          <w:rFonts w:ascii="Times New Roman" w:hAnsi="Times New Roman" w:cs="Times New Roman"/>
          <w:b/>
          <w:sz w:val="23"/>
          <w:szCs w:val="23"/>
          <w:lang w:val="uk-UA"/>
        </w:rPr>
        <w:t>6.25. Події після дати балансу.</w:t>
      </w:r>
    </w:p>
    <w:p w:rsidR="00DD262C" w:rsidRPr="00DD262C" w:rsidRDefault="00DD262C" w:rsidP="00DD262C">
      <w:pPr>
        <w:ind w:firstLine="709"/>
        <w:rPr>
          <w:rFonts w:ascii="Times New Roman" w:hAnsi="Times New Roman" w:cs="Times New Roman"/>
          <w:b/>
          <w:sz w:val="23"/>
          <w:szCs w:val="23"/>
          <w:lang w:val="uk-UA"/>
        </w:rPr>
      </w:pPr>
    </w:p>
    <w:p w:rsidR="00DD262C" w:rsidRPr="00DD262C" w:rsidRDefault="00DD262C" w:rsidP="00DD262C">
      <w:pPr>
        <w:ind w:firstLine="709"/>
        <w:rPr>
          <w:rFonts w:ascii="Times New Roman" w:hAnsi="Times New Roman" w:cs="Times New Roman"/>
          <w:b/>
          <w:i/>
          <w:sz w:val="26"/>
          <w:szCs w:val="26"/>
          <w:lang w:val="uk-UA"/>
        </w:rPr>
      </w:pPr>
      <w:r w:rsidRPr="00DD262C">
        <w:rPr>
          <w:rFonts w:ascii="Times New Roman" w:hAnsi="Times New Roman" w:cs="Times New Roman"/>
          <w:b/>
          <w:i/>
          <w:sz w:val="26"/>
          <w:szCs w:val="26"/>
          <w:lang w:val="uk-UA"/>
        </w:rPr>
        <w:t>1. Інформація про компанію</w:t>
      </w:r>
    </w:p>
    <w:p w:rsidR="00DD262C" w:rsidRPr="00DD262C" w:rsidRDefault="00DD262C" w:rsidP="00DD262C">
      <w:pPr>
        <w:jc w:val="center"/>
        <w:rPr>
          <w:rFonts w:ascii="Times New Roman" w:hAnsi="Times New Roman" w:cs="Times New Roman"/>
          <w:b/>
          <w:lang w:val="uk-UA"/>
        </w:rPr>
      </w:pPr>
      <w:r w:rsidRPr="00DD262C">
        <w:rPr>
          <w:rFonts w:ascii="Times New Roman" w:hAnsi="Times New Roman" w:cs="Times New Roman"/>
          <w:b/>
          <w:lang w:val="uk-UA"/>
        </w:rPr>
        <w:t xml:space="preserve">Найменування юівуридичної особи Приватне акціонерне товариство </w:t>
      </w:r>
    </w:p>
    <w:p w:rsidR="00DD262C" w:rsidRPr="00DD262C" w:rsidRDefault="00DD262C" w:rsidP="00DD262C">
      <w:pPr>
        <w:jc w:val="center"/>
        <w:rPr>
          <w:rFonts w:ascii="Times New Roman" w:hAnsi="Times New Roman" w:cs="Times New Roman"/>
          <w:b/>
          <w:lang w:val="uk-UA"/>
        </w:rPr>
      </w:pPr>
      <w:r w:rsidRPr="00DD262C">
        <w:rPr>
          <w:rFonts w:ascii="Times New Roman" w:hAnsi="Times New Roman" w:cs="Times New Roman"/>
          <w:b/>
          <w:lang w:val="uk-UA"/>
        </w:rPr>
        <w:t>«Страхова компанія «Сатіс»</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919"/>
        <w:gridCol w:w="5061"/>
      </w:tblGrid>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Юридична адреса:</w:t>
            </w:r>
          </w:p>
        </w:tc>
        <w:tc>
          <w:tcPr>
            <w:tcW w:w="5061"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м. Київ, вул. Саперно-Слобідська, 22</w:t>
            </w:r>
          </w:p>
        </w:tc>
      </w:tr>
      <w:tr w:rsidR="00DD262C" w:rsidRPr="00DD262C" w:rsidTr="00DD262C">
        <w:trPr>
          <w:trHeight w:val="402"/>
        </w:trPr>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Фактична  адреса:</w:t>
            </w:r>
          </w:p>
        </w:tc>
        <w:tc>
          <w:tcPr>
            <w:tcW w:w="5061"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м. Київ, вул. Саперно-Слобідська, 22</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Дата державної реєстрації</w:t>
            </w:r>
          </w:p>
        </w:tc>
        <w:tc>
          <w:tcPr>
            <w:tcW w:w="5061"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10 березня 1995 р</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Адреса вебсайта</w:t>
            </w:r>
          </w:p>
        </w:tc>
        <w:tc>
          <w:tcPr>
            <w:tcW w:w="5061"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color w:val="FF0000"/>
                <w:lang w:val="uk-UA"/>
              </w:rPr>
              <w:t>http://www.satis.kiev.ua</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Види діяльності згідно з ЄДРПОУ  </w:t>
            </w:r>
          </w:p>
        </w:tc>
        <w:tc>
          <w:tcPr>
            <w:tcW w:w="5061" w:type="dxa"/>
            <w:shd w:val="clear" w:color="auto" w:fill="auto"/>
            <w:vAlign w:val="center"/>
          </w:tcPr>
          <w:p w:rsidR="00DD262C" w:rsidRPr="00DD262C" w:rsidRDefault="00DD262C" w:rsidP="00B80E44">
            <w:pPr>
              <w:pStyle w:val="a3"/>
              <w:rPr>
                <w:b/>
                <w:sz w:val="22"/>
                <w:szCs w:val="22"/>
              </w:rPr>
            </w:pPr>
            <w:r w:rsidRPr="00DD262C">
              <w:rPr>
                <w:sz w:val="22"/>
                <w:szCs w:val="22"/>
              </w:rPr>
              <w:t xml:space="preserve">Страхування, перестрахування та здійснення фінансової діяльності, пов’язаної із формуванням, розміщенням страхових резервів та їх управлінням. </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Реєстраційний номер присвоєний Нацкомфінпослуг</w:t>
            </w: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lang w:val="uk-UA"/>
              </w:rPr>
              <w:t>11100884</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Ідентифікаційний код за ЄДРПОУ</w:t>
            </w: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lang w:val="uk-UA"/>
              </w:rPr>
              <w:t>22963118</w:t>
            </w:r>
          </w:p>
        </w:tc>
      </w:tr>
      <w:tr w:rsidR="00DD262C" w:rsidRPr="00DD262C" w:rsidTr="00DD262C">
        <w:trPr>
          <w:trHeight w:val="574"/>
        </w:trPr>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Банківські реквізити</w:t>
            </w:r>
          </w:p>
        </w:tc>
        <w:tc>
          <w:tcPr>
            <w:tcW w:w="5061"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ПАТ КБ "ПРИВАТБАНК"</w:t>
            </w:r>
          </w:p>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МФО 305299</w:t>
            </w:r>
          </w:p>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р/р. UA593052990000026505046200629</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Документи ,що підтверджують право на здійснення відповідних видів страхування:    </w:t>
            </w: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b/>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569052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569053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569054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569055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569056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569057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569058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569059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569060 від 08.12.2010 року</w:t>
            </w:r>
          </w:p>
        </w:tc>
      </w:tr>
      <w:tr w:rsidR="00DD262C" w:rsidRPr="00DD262C" w:rsidTr="00DD262C">
        <w:tc>
          <w:tcPr>
            <w:tcW w:w="4919" w:type="dxa"/>
            <w:shd w:val="clear" w:color="auto" w:fill="auto"/>
            <w:vAlign w:val="center"/>
          </w:tcPr>
          <w:p w:rsidR="00DD262C" w:rsidRPr="00DD262C" w:rsidRDefault="00DD262C" w:rsidP="00B80E44">
            <w:pPr>
              <w:rPr>
                <w:rFonts w:ascii="Times New Roman" w:hAnsi="Times New Roman" w:cs="Times New Roman"/>
                <w:lang w:val="uk-UA"/>
              </w:rPr>
            </w:pPr>
          </w:p>
        </w:tc>
        <w:tc>
          <w:tcPr>
            <w:tcW w:w="5061" w:type="dxa"/>
            <w:shd w:val="clear" w:color="auto" w:fill="auto"/>
            <w:vAlign w:val="center"/>
          </w:tcPr>
          <w:p w:rsidR="00DD262C" w:rsidRPr="00DD262C" w:rsidRDefault="00DD262C" w:rsidP="00B80E44">
            <w:pPr>
              <w:rPr>
                <w:rFonts w:ascii="Times New Roman" w:hAnsi="Times New Roman" w:cs="Times New Roman"/>
                <w:b/>
                <w:lang w:val="uk-UA"/>
              </w:rPr>
            </w:pPr>
            <w:r w:rsidRPr="00DD262C">
              <w:rPr>
                <w:rFonts w:ascii="Times New Roman" w:hAnsi="Times New Roman" w:cs="Times New Roman"/>
                <w:bCs/>
                <w:iCs/>
                <w:lang w:val="uk-UA"/>
              </w:rPr>
              <w:t>Серія АГ № 569061 від 08.12.2010 року</w:t>
            </w:r>
          </w:p>
        </w:tc>
      </w:tr>
      <w:tr w:rsidR="00DD262C" w:rsidRPr="00DD262C" w:rsidTr="00DD262C">
        <w:tc>
          <w:tcPr>
            <w:tcW w:w="9980" w:type="dxa"/>
            <w:gridSpan w:val="2"/>
            <w:shd w:val="clear" w:color="auto" w:fill="auto"/>
            <w:vAlign w:val="center"/>
          </w:tcPr>
          <w:p w:rsidR="00DD262C" w:rsidRPr="00DD262C" w:rsidRDefault="00DD262C" w:rsidP="00B80E44">
            <w:pPr>
              <w:pStyle w:val="ac"/>
              <w:ind w:firstLine="360"/>
              <w:jc w:val="both"/>
              <w:rPr>
                <w:sz w:val="24"/>
                <w:szCs w:val="24"/>
                <w:lang w:val="uk-UA"/>
              </w:rPr>
            </w:pPr>
          </w:p>
        </w:tc>
      </w:tr>
    </w:tbl>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 xml:space="preserve">     </w:t>
      </w:r>
    </w:p>
    <w:bookmarkEnd w:id="0"/>
    <w:p w:rsidR="00DD262C" w:rsidRPr="00DD262C" w:rsidRDefault="00DD262C" w:rsidP="00DD262C">
      <w:pPr>
        <w:jc w:val="center"/>
        <w:rPr>
          <w:rFonts w:ascii="Times New Roman" w:hAnsi="Times New Roman" w:cs="Times New Roman"/>
          <w:b/>
          <w:i/>
          <w:kern w:val="28"/>
          <w:sz w:val="26"/>
          <w:szCs w:val="26"/>
          <w:lang w:val="uk-UA"/>
        </w:rPr>
      </w:pPr>
      <w:r w:rsidRPr="00DD262C">
        <w:rPr>
          <w:rFonts w:ascii="Times New Roman" w:hAnsi="Times New Roman" w:cs="Times New Roman"/>
          <w:b/>
          <w:i/>
          <w:kern w:val="28"/>
          <w:sz w:val="26"/>
          <w:szCs w:val="26"/>
          <w:lang w:val="uk-UA"/>
        </w:rPr>
        <w:t>2. Основи подання фінансової звітності.</w:t>
      </w:r>
    </w:p>
    <w:p w:rsidR="00DD262C" w:rsidRPr="00DD262C" w:rsidRDefault="00DD262C" w:rsidP="00DD262C">
      <w:pPr>
        <w:pStyle w:val="a3"/>
        <w:ind w:firstLine="540"/>
        <w:rPr>
          <w:kern w:val="28"/>
        </w:rPr>
      </w:pPr>
      <w:r w:rsidRPr="00DD262C">
        <w:rPr>
          <w:b/>
          <w:i/>
          <w:kern w:val="28"/>
        </w:rPr>
        <w:t xml:space="preserve">2.1. Достовірне подання та відповідність МСФЗ. </w:t>
      </w:r>
      <w:r w:rsidRPr="00DD262C">
        <w:rPr>
          <w:kern w:val="28"/>
        </w:rPr>
        <w:t xml:space="preserve">Фінансова звітність Товариства є фінансовою звітністю загального призначення, яка сформована з метою достовірно подання фінансового стану, фінансових результатів діяльності та грошових потоків Товариства для задоволення інформаційних потреб широкого кола користувачів при прийнятті ними економічних рішень. </w:t>
      </w:r>
    </w:p>
    <w:p w:rsidR="00DD262C" w:rsidRPr="00DD262C" w:rsidRDefault="00DD262C" w:rsidP="00DD262C">
      <w:pPr>
        <w:pStyle w:val="a3"/>
        <w:ind w:firstLine="540"/>
        <w:rPr>
          <w:kern w:val="28"/>
        </w:rPr>
      </w:pPr>
      <w:r w:rsidRPr="00DD262C">
        <w:rPr>
          <w:kern w:val="28"/>
        </w:rPr>
        <w:t>Концептуальною основою фінансової звітності Товариства за звітний період, що закінчився 31 грудня 2022 року, є Міжнародні стандарти фінансової звітності (МСФЗ), включаючи Міжнародні стандарти бухгалтерського обліку (МСБО) та Тлумачення (КТМФЗ, ПКТ), видані Радою з Міжнародних стандартів бухгалтерського обліку (РМСБО), в редакції чинній на 01 січня 2022 року, що офіційно оприлюдненні на веб-сайті Міністерства фінансів України.</w:t>
      </w:r>
    </w:p>
    <w:p w:rsidR="00DD262C" w:rsidRPr="00DD262C" w:rsidRDefault="00DD262C" w:rsidP="00DD262C">
      <w:pPr>
        <w:pStyle w:val="a3"/>
        <w:ind w:firstLine="540"/>
        <w:rPr>
          <w:kern w:val="28"/>
        </w:rPr>
      </w:pPr>
      <w:r w:rsidRPr="00DD262C">
        <w:rPr>
          <w:kern w:val="28"/>
        </w:rPr>
        <w:t>Підготовлена Товариством фінансова звітність чітко та без будь-яких застережень відповідає всім вимогам чинних МСФЗ з врахуванням змін, внесених РМСБО станом на 01 січня 2022 року, дотримання яких забезпечує достовірне подання інформації в фінансовій звітності, а саме, доречної, достовірної, зіставної та зрозумілої інформації.</w:t>
      </w:r>
    </w:p>
    <w:p w:rsidR="00DD262C" w:rsidRPr="00DD262C" w:rsidRDefault="00DD262C" w:rsidP="00DD262C">
      <w:pPr>
        <w:pStyle w:val="a3"/>
        <w:ind w:firstLine="540"/>
        <w:rPr>
          <w:kern w:val="28"/>
        </w:rPr>
      </w:pPr>
      <w:r w:rsidRPr="00DD262C">
        <w:rPr>
          <w:kern w:val="28"/>
        </w:rPr>
        <w:t>При формуванні фінансової звітності Товариство керувалося також вимогами національних законодавчих та нормативних актів щодо організації і ведення бухгалтерського обліку та складання фінансової звітності в Україні, які непротиворічать вимогам МСФЗ.</w:t>
      </w:r>
    </w:p>
    <w:p w:rsidR="00DD262C" w:rsidRPr="00DD262C" w:rsidRDefault="00DD262C" w:rsidP="00DD262C">
      <w:pPr>
        <w:pStyle w:val="a3"/>
        <w:ind w:firstLine="540"/>
        <w:rPr>
          <w:kern w:val="28"/>
        </w:rPr>
      </w:pPr>
    </w:p>
    <w:p w:rsidR="00DD262C" w:rsidRPr="00DD262C" w:rsidRDefault="00DD262C" w:rsidP="00DD262C">
      <w:pPr>
        <w:ind w:firstLine="539"/>
        <w:jc w:val="both"/>
        <w:rPr>
          <w:rFonts w:ascii="Times New Roman" w:hAnsi="Times New Roman" w:cs="Times New Roman"/>
          <w:lang w:val="uk-UA"/>
        </w:rPr>
      </w:pPr>
      <w:r w:rsidRPr="00DD262C">
        <w:rPr>
          <w:rFonts w:ascii="Times New Roman" w:hAnsi="Times New Roman" w:cs="Times New Roman"/>
          <w:b/>
          <w:i/>
          <w:kern w:val="28"/>
          <w:lang w:val="uk-UA"/>
        </w:rPr>
        <w:t>2.2. Сутність і вплив нових стандартів МСФЗ.</w:t>
      </w:r>
      <w:r w:rsidRPr="00DD262C">
        <w:rPr>
          <w:rFonts w:ascii="Times New Roman" w:hAnsi="Times New Roman" w:cs="Times New Roman"/>
          <w:kern w:val="28"/>
          <w:lang w:val="uk-UA"/>
        </w:rPr>
        <w:t xml:space="preserve"> </w:t>
      </w:r>
      <w:r w:rsidRPr="00DD262C">
        <w:rPr>
          <w:rFonts w:ascii="Times New Roman" w:hAnsi="Times New Roman" w:cs="Times New Roman"/>
          <w:lang w:val="uk-UA"/>
        </w:rPr>
        <w:t xml:space="preserve">Прийнята облікова політика Товариством в період підготовки фінансової звітності відповідає обліковій політиці, що застосовувалася при підготовці фінансової звітності за 2022 рік, що закінчився 31 грудня 2022 року, за винятком прийняття нових стандартів та інтерпретацій, які набрали чинності з 1 січня 2022 року. Товариство  не прийняла достроково будь-який інший стандарт, інтерпретації або поправки, які були випущенні, але ще не вступили в силу. Інформація про характер і вплив цих змін розкрита нижче. </w:t>
      </w:r>
    </w:p>
    <w:p w:rsidR="00DD262C" w:rsidRPr="00DD262C" w:rsidRDefault="00DD262C" w:rsidP="00DD262C">
      <w:pPr>
        <w:pStyle w:val="ac"/>
        <w:ind w:firstLine="567"/>
        <w:jc w:val="both"/>
        <w:rPr>
          <w:b/>
          <w:i/>
          <w:sz w:val="24"/>
          <w:szCs w:val="24"/>
          <w:lang w:val="uk-UA"/>
        </w:rPr>
      </w:pPr>
      <w:bookmarkStart w:id="3" w:name="_Toc120529789"/>
      <w:r w:rsidRPr="00DD262C">
        <w:rPr>
          <w:sz w:val="24"/>
          <w:szCs w:val="24"/>
          <w:lang w:val="uk-UA"/>
        </w:rPr>
        <w:t xml:space="preserve">  </w:t>
      </w:r>
      <w:r w:rsidRPr="00DD262C">
        <w:rPr>
          <w:b/>
          <w:i/>
          <w:sz w:val="24"/>
          <w:szCs w:val="24"/>
          <w:lang w:val="uk-UA"/>
        </w:rPr>
        <w:t>Запровадження нових або переглянутих стандартів та інтерпретацій</w:t>
      </w:r>
      <w:bookmarkStart w:id="4" w:name="bookmark=id.2s8eyo1"/>
      <w:bookmarkEnd w:id="3"/>
      <w:bookmarkEnd w:id="4"/>
      <w:r w:rsidRPr="00DD262C">
        <w:rPr>
          <w:b/>
          <w:i/>
          <w:sz w:val="24"/>
          <w:szCs w:val="24"/>
          <w:lang w:val="uk-UA"/>
        </w:rPr>
        <w:t>.</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bookmarkStart w:id="5" w:name="_Hlk116631444"/>
      <w:r w:rsidRPr="00DD262C">
        <w:rPr>
          <w:sz w:val="24"/>
          <w:szCs w:val="24"/>
          <w:lang w:val="uk-UA"/>
        </w:rPr>
        <w:t xml:space="preserve">    З 1 січня 2022 року набули чинності такі зміни стандартів : </w:t>
      </w:r>
    </w:p>
    <w:p w:rsidR="00DD262C" w:rsidRPr="00DD262C" w:rsidRDefault="00DD262C" w:rsidP="00DD262C">
      <w:pPr>
        <w:pStyle w:val="ac"/>
        <w:rPr>
          <w:b/>
          <w:i/>
          <w:sz w:val="24"/>
          <w:szCs w:val="24"/>
          <w:lang w:val="uk-UA"/>
        </w:rPr>
      </w:pPr>
    </w:p>
    <w:p w:rsidR="00DD262C" w:rsidRPr="00DD262C" w:rsidRDefault="00DD262C" w:rsidP="00DD262C">
      <w:pPr>
        <w:pStyle w:val="ac"/>
        <w:rPr>
          <w:b/>
          <w:i/>
          <w:sz w:val="24"/>
          <w:szCs w:val="24"/>
          <w:lang w:val="uk-UA"/>
        </w:rPr>
      </w:pPr>
      <w:r w:rsidRPr="00DD262C">
        <w:rPr>
          <w:b/>
          <w:i/>
          <w:sz w:val="24"/>
          <w:szCs w:val="24"/>
          <w:lang w:val="uk-UA"/>
        </w:rPr>
        <w:t xml:space="preserve"> Виручка, отримана до початку запланованого використання активу,</w:t>
      </w:r>
    </w:p>
    <w:p w:rsidR="00DD262C" w:rsidRPr="00DD262C" w:rsidRDefault="00DD262C" w:rsidP="00DD262C">
      <w:pPr>
        <w:pStyle w:val="ac"/>
        <w:rPr>
          <w:b/>
          <w:i/>
          <w:sz w:val="24"/>
          <w:szCs w:val="24"/>
          <w:lang w:val="uk-UA"/>
        </w:rPr>
      </w:pPr>
      <w:r w:rsidRPr="00DD262C">
        <w:rPr>
          <w:b/>
          <w:i/>
          <w:sz w:val="24"/>
          <w:szCs w:val="24"/>
          <w:lang w:val="uk-UA"/>
        </w:rPr>
        <w:t xml:space="preserve"> Обтяжливі  договори – вартість виконання договору,</w:t>
      </w:r>
    </w:p>
    <w:p w:rsidR="00DD262C" w:rsidRPr="00DD262C" w:rsidRDefault="00DD262C" w:rsidP="00DD262C">
      <w:pPr>
        <w:pStyle w:val="ac"/>
        <w:rPr>
          <w:b/>
          <w:i/>
          <w:sz w:val="24"/>
          <w:szCs w:val="24"/>
          <w:lang w:val="uk-UA"/>
        </w:rPr>
      </w:pPr>
      <w:r w:rsidRPr="00DD262C">
        <w:rPr>
          <w:b/>
          <w:i/>
          <w:sz w:val="24"/>
          <w:szCs w:val="24"/>
          <w:lang w:val="uk-UA"/>
        </w:rPr>
        <w:t xml:space="preserve"> Посилання на Концептуальну основу – зміни обмеженої сфери застосування до МСБО 16, МСБО 37 та МСФЗ 3, і Щорічні удосконалення МСФЗ 2018-2020 років </w:t>
      </w:r>
    </w:p>
    <w:p w:rsidR="00DD262C" w:rsidRPr="00DD262C" w:rsidRDefault="00DD262C" w:rsidP="00DD262C">
      <w:pPr>
        <w:pStyle w:val="ac"/>
        <w:rPr>
          <w:b/>
          <w:i/>
          <w:sz w:val="24"/>
          <w:szCs w:val="24"/>
          <w:lang w:val="uk-UA"/>
        </w:rPr>
      </w:pPr>
      <w:r w:rsidRPr="00DD262C">
        <w:rPr>
          <w:b/>
          <w:i/>
          <w:sz w:val="24"/>
          <w:szCs w:val="24"/>
          <w:lang w:val="uk-UA"/>
        </w:rPr>
        <w:t xml:space="preserve">– зміни МСФЗ 1, МСФЗ 9, </w:t>
      </w:r>
    </w:p>
    <w:p w:rsidR="00DD262C" w:rsidRPr="00DD262C" w:rsidRDefault="00DD262C" w:rsidP="00DD262C">
      <w:pPr>
        <w:pStyle w:val="ac"/>
        <w:rPr>
          <w:b/>
          <w:i/>
          <w:sz w:val="24"/>
          <w:szCs w:val="24"/>
          <w:lang w:val="uk-UA"/>
        </w:rPr>
      </w:pPr>
      <w:r w:rsidRPr="00DD262C">
        <w:rPr>
          <w:b/>
          <w:i/>
          <w:sz w:val="24"/>
          <w:szCs w:val="24"/>
          <w:lang w:val="uk-UA"/>
        </w:rPr>
        <w:t>МСФЗ 16 та МСБО 41 (опубліковані 14 травня 2020 року і вступають у силу для річних періодів, які починаються з 1 січня 2022 року або після цієї дати).</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b/>
          <w:i/>
          <w:sz w:val="24"/>
          <w:szCs w:val="24"/>
          <w:lang w:val="uk-UA"/>
        </w:rPr>
        <w:t>Зміна МСБО 16</w:t>
      </w:r>
      <w:r w:rsidRPr="00DD262C">
        <w:rPr>
          <w:lang w:val="uk-UA"/>
        </w:rPr>
        <w:t xml:space="preserve"> «Основні засоби»  забороняє организациям вираховувати з вырост обката основних засобів будь-яку виручку, отриману від продажу готової продукції, виготовленої протягом періоду підготовки організацією цього активу до запланованого використання.  Виручка від продажу такої готової продукції разом із витратами на її</w:t>
      </w:r>
      <w:r w:rsidRPr="00DD262C">
        <w:rPr>
          <w:sz w:val="24"/>
          <w:szCs w:val="24"/>
          <w:lang w:val="uk-UA"/>
        </w:rPr>
        <w:t xml:space="preserve"> виробництво наразі визнається у складі прибутку чи збитку.  Для оцінки собівартості цих виробів суб'єкт господарювання застосовує МСБО 2. Собівартість не включатиме амортизацію активу, який тестується, оскільки він не готовий до його запланованого використання.  Зміни МСБО 16 також роз'яснюють, що суб'єкт господарювання «тестує актив на предмет його належного функціонування», коли він оцінює технічну та фізичну продуктивність активу.  Фінансові показники такого активу не мають значення для цієї оцінки. Отже, актив може функціонувати відповідно до намірів керівництва та підлягати амортизації до того, як він досягне очікуваного керівництвом рівня операційної діяльності.</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b/>
          <w:sz w:val="24"/>
          <w:szCs w:val="24"/>
          <w:lang w:val="uk-UA"/>
        </w:rPr>
        <w:t>Зміни МСБО 37 «Забезпечення, непередбачені зобов’язання та непередбачені активи»</w:t>
      </w:r>
      <w:r w:rsidRPr="00DD262C">
        <w:rPr>
          <w:sz w:val="24"/>
          <w:szCs w:val="24"/>
          <w:lang w:val="uk-UA"/>
        </w:rPr>
        <w:t xml:space="preserve">  роз'яснюють значення «витрати на виконання контракту».  Зміна пояснює, що прямі витрати на виконання договору включають додаткові витрати на виконання такого договору та розподіл інших витрат, які безпосередньо пов'язані з виконанням договору.  Зміна також роз'яснює, що до створення окремого резерву під обтяжливий договір організація визнає весь збиток від знецінення активів, використаних у ході виконання договору, а не активів, призначених для виконання договору.</w:t>
      </w:r>
    </w:p>
    <w:p w:rsidR="00DD262C" w:rsidRPr="00DD262C" w:rsidRDefault="00DD262C" w:rsidP="00DD262C">
      <w:pPr>
        <w:pStyle w:val="ac"/>
        <w:ind w:firstLine="567"/>
        <w:jc w:val="both"/>
        <w:rPr>
          <w:sz w:val="24"/>
          <w:szCs w:val="24"/>
          <w:lang w:val="uk-UA"/>
        </w:rPr>
      </w:pPr>
      <w:r w:rsidRPr="00DD262C">
        <w:rPr>
          <w:b/>
          <w:sz w:val="24"/>
          <w:szCs w:val="24"/>
          <w:lang w:val="uk-UA"/>
        </w:rPr>
        <w:t>МСФЗ 3 «Об’єднання бізнесу»</w:t>
      </w:r>
      <w:r w:rsidRPr="00DD262C">
        <w:rPr>
          <w:sz w:val="24"/>
          <w:szCs w:val="24"/>
          <w:lang w:val="uk-UA"/>
        </w:rPr>
        <w:t xml:space="preserve"> було змінено шляхом включення до нього посилання на Концептуальну основу фінансової звітності 2018 року, яка дозволяє визначити, що являє собою актив або зобов'язання при об'єднанні бізнесу. До цієї зміни МСФЗ 3 включав посилання на Концептуальну основу фінансової звітності 2001 року.  Крім того, в МСФЗ 3 додано нове виключення щодо зобов'язань та умовних зобов'язань. Це виключення передбачає, що відносно певних категорій зобов'язань та умовних зобов'язань організація, яка застосовує МСФЗ 3, повинна посилатися на МСБО 37 або на Роз'яснення КІМФЗ 21, а не на Концептуальну основу фінансової звітності 2018 року.  Без цього нового виключення організації довелося б визнавати певні зобов'язання при об'єднанні бізнесу, які вона не визнавала б відповідно до МСБО 37. Отже, одразу після придбання організація повинна була б припинити визнання таких зобов'язань і визнати дохід, який не відображає економічну вигоду.  Також було роз'яснено, що організація-покупець не зобов'язана визнавати умовні активи відповідно до визначення МСБО 37 на дату придбання.</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b/>
          <w:sz w:val="24"/>
          <w:szCs w:val="24"/>
          <w:lang w:val="uk-UA"/>
        </w:rPr>
        <w:t>Зміна МСФЗ 9</w:t>
      </w:r>
      <w:r w:rsidRPr="00DD262C">
        <w:rPr>
          <w:sz w:val="24"/>
          <w:szCs w:val="24"/>
          <w:lang w:val="uk-UA"/>
        </w:rPr>
        <w:t xml:space="preserve"> розглядає питання про те, які платежі слід включати до «10%-го тестування» для припинення визнання фінансових зобов'язань. Витрати чи платежі можуть здійснюватися на користь третіх сторін або кредитора. Згідно зі змінами, витрати або комісії, сплачені третім сторонам, не включаються до «тесту 10%».</w:t>
      </w:r>
    </w:p>
    <w:p w:rsidR="00DD262C" w:rsidRPr="00DD262C" w:rsidRDefault="00DD262C" w:rsidP="00DD262C">
      <w:pPr>
        <w:pStyle w:val="ac"/>
        <w:ind w:firstLine="567"/>
        <w:jc w:val="both"/>
        <w:rPr>
          <w:sz w:val="24"/>
          <w:szCs w:val="24"/>
          <w:lang w:val="uk-UA"/>
        </w:rPr>
      </w:pPr>
      <w:r w:rsidRPr="00DD262C">
        <w:rPr>
          <w:sz w:val="24"/>
          <w:szCs w:val="24"/>
          <w:lang w:val="uk-UA"/>
        </w:rPr>
        <w:t>Внесено зміни до ілюстративного прикладу 13 до МСФЗ 16: виключено приклад платежів орендодавця, які стосуються удосконалень орендованого майна.  Цю зміну внесено для того, щоб уникнути потенційної невизначеності щодо методу обліку пільгових умов за орендою.</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b/>
          <w:sz w:val="24"/>
          <w:szCs w:val="24"/>
          <w:lang w:val="uk-UA"/>
        </w:rPr>
        <w:t>МСФЗ 1</w:t>
      </w:r>
      <w:r w:rsidRPr="00DD262C">
        <w:rPr>
          <w:sz w:val="24"/>
          <w:szCs w:val="24"/>
          <w:lang w:val="uk-UA"/>
        </w:rPr>
        <w:t xml:space="preserve"> дозволяє застосовувати звільнення, якщо дочірня компанія починає застосовувати МСФЗ з пізнішої дати, ніж її материнська компанія.  Дочірня компанія може оцінювати свої активи та зобов'язання за балансовою вартістю, яка була б включена до консолідованої фінансової звітності материнської компанії з урахуванням дати переходу материнської компанії на облік за МСФЗ, якби не здійснювалося коригувань на процедури консолідації та на вплив операції з об'єднання бізнесу, в межах якої материнська компанія придбала дочірню компанію.  Зміна МСФЗ 1 дозволяє організаціям, які застосували це звільнення за МСФЗ 1, також оцінювати накопичені курсові різниці із використанням числових значень показників, відображених материнською компанією, на основі дати переходу материнської компанії на облік за МСФЗ.  Зміни МСФЗ 1 поширюють зазначене вище звільнення на кумулятивні курсові різниці з метою скорочення витрат для компаній, які застосовують МСФЗ вперше. Ця зміна застосовується також для асоційованих компаній та спільних підприємств, які скористалися цим передбаченим МСФЗ 1 звільненням.</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sz w:val="24"/>
          <w:szCs w:val="24"/>
          <w:lang w:val="uk-UA"/>
        </w:rPr>
        <w:t xml:space="preserve">Вимога, згідно з якою компанії мали виключати грошові потоки, пов'язані з оподаткуванням, при оцінці справедливої вартості згідно з МСБО 41, була скасована. Ця зміна має забезпечити відповідність вимозі, яка міститься у стандарті, щодо дисконтування грошових потоків після оподаткування. </w:t>
      </w:r>
    </w:p>
    <w:p w:rsidR="00DD262C" w:rsidRPr="00DD262C" w:rsidRDefault="00DD262C" w:rsidP="00DD262C">
      <w:pPr>
        <w:pStyle w:val="ac"/>
        <w:ind w:firstLine="567"/>
        <w:jc w:val="both"/>
        <w:rPr>
          <w:sz w:val="24"/>
          <w:szCs w:val="24"/>
          <w:lang w:val="uk-UA"/>
        </w:rPr>
      </w:pPr>
      <w:r w:rsidRPr="00DD262C">
        <w:rPr>
          <w:sz w:val="24"/>
          <w:szCs w:val="24"/>
          <w:lang w:val="uk-UA"/>
        </w:rPr>
        <w:t xml:space="preserve">Застосування цих змін не мало значного впливу на фінансову звітність </w:t>
      </w:r>
      <w:bookmarkEnd w:id="5"/>
      <w:r w:rsidRPr="00DD262C">
        <w:rPr>
          <w:sz w:val="24"/>
          <w:szCs w:val="24"/>
          <w:lang w:val="uk-UA"/>
        </w:rPr>
        <w:t>Компанії.</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ind w:firstLine="567"/>
        <w:jc w:val="both"/>
        <w:rPr>
          <w:sz w:val="24"/>
          <w:szCs w:val="24"/>
          <w:lang w:val="uk-UA"/>
        </w:rPr>
      </w:pPr>
      <w:r w:rsidRPr="00DD262C">
        <w:rPr>
          <w:sz w:val="24"/>
          <w:szCs w:val="24"/>
          <w:lang w:val="uk-UA"/>
        </w:rPr>
        <w:t xml:space="preserve">На думку Керівництва Товариства, зазначені зміни не мали впливу на річну фінансову звітність Товариства. </w:t>
      </w:r>
    </w:p>
    <w:p w:rsidR="00DD262C" w:rsidRPr="00DD262C" w:rsidRDefault="00DD262C" w:rsidP="00DD262C">
      <w:pPr>
        <w:pStyle w:val="ac"/>
        <w:ind w:firstLine="567"/>
        <w:jc w:val="both"/>
        <w:rPr>
          <w:sz w:val="24"/>
          <w:szCs w:val="24"/>
          <w:lang w:val="uk-UA"/>
        </w:rPr>
      </w:pPr>
    </w:p>
    <w:p w:rsidR="00DD262C" w:rsidRPr="00DD262C" w:rsidRDefault="00DD262C" w:rsidP="00DD262C">
      <w:pPr>
        <w:pStyle w:val="ac"/>
        <w:rPr>
          <w:sz w:val="24"/>
          <w:szCs w:val="24"/>
          <w:lang w:val="uk-UA"/>
        </w:rPr>
      </w:pPr>
      <w:r w:rsidRPr="00DD262C">
        <w:rPr>
          <w:b/>
          <w:sz w:val="24"/>
          <w:szCs w:val="24"/>
          <w:lang w:val="uk-UA"/>
        </w:rPr>
        <w:t xml:space="preserve">      Щорічні поправки в МСФЗ (2018-2020):</w:t>
      </w:r>
      <w:r w:rsidRPr="00DD262C">
        <w:rPr>
          <w:sz w:val="24"/>
          <w:szCs w:val="24"/>
          <w:lang w:val="uk-UA"/>
        </w:rPr>
        <w:t xml:space="preserve"> </w:t>
      </w:r>
      <w:r w:rsidRPr="00DD262C">
        <w:rPr>
          <w:b/>
          <w:sz w:val="24"/>
          <w:szCs w:val="24"/>
          <w:lang w:val="uk-UA"/>
        </w:rPr>
        <w:t xml:space="preserve">МСФЗ (IFRS) 1 </w:t>
      </w:r>
      <w:r w:rsidRPr="00DD262C">
        <w:rPr>
          <w:sz w:val="24"/>
          <w:szCs w:val="24"/>
          <w:lang w:val="uk-UA"/>
        </w:rPr>
        <w:t>Дочірнє підприємство, яке уперше застосувало МСФЗ. Поправка дозволяє дочірньому підприємству, що застосовує IFRS 1: D16 (a) (яке переходить на МСФЗ пізніше своєї материнської компанії), виконати оцінку накопиченого ефекту курсових різниць у складі іншого сукупного доходу - на підставі такої оцінки, виконаної материнською компанією на дату її переходу на МСФЗ.</w:t>
      </w:r>
      <w:r w:rsidRPr="00DD262C">
        <w:rPr>
          <w:sz w:val="24"/>
          <w:szCs w:val="24"/>
          <w:lang w:val="uk-UA"/>
        </w:rPr>
        <w:tab/>
        <w:t>Дата застосування  01.01.2022.  Дозволяється дострокове застосування. Дані зміни  не впливають на фінансову звітність Компанії.</w:t>
      </w:r>
    </w:p>
    <w:p w:rsidR="00DD262C" w:rsidRPr="00DD262C" w:rsidRDefault="00DD262C" w:rsidP="00DD262C">
      <w:pPr>
        <w:spacing w:after="200"/>
        <w:jc w:val="both"/>
        <w:rPr>
          <w:rFonts w:ascii="Times New Roman" w:hAnsi="Times New Roman" w:cs="Times New Roman"/>
          <w:lang w:val="uk-UA"/>
        </w:rPr>
      </w:pPr>
      <w:r w:rsidRPr="00DD262C">
        <w:rPr>
          <w:rFonts w:ascii="Times New Roman" w:hAnsi="Times New Roman" w:cs="Times New Roman"/>
          <w:b/>
          <w:lang w:val="uk-UA"/>
        </w:rPr>
        <w:t xml:space="preserve">     Щорічні поправки в МСФЗ (2018-2020): МСФЗ (IFRS) 9</w:t>
      </w:r>
      <w:r w:rsidRPr="00DD262C">
        <w:rPr>
          <w:rFonts w:ascii="Times New Roman" w:hAnsi="Times New Roman" w:cs="Times New Roman"/>
          <w:lang w:val="uk-UA"/>
        </w:rPr>
        <w:t xml:space="preserve"> Комісійна винагорода, що включається в «10-відсотковий» тест при припиненні визнання фінансових зобов'язань. Поправка уточнює характер такої комісійної винагороди - воно включає тільки винагороду, сплачене між позикодавцем і позико отримувачем, включаючи винагороду, сплачене або отримане від особи інших сторін. Дата застосування  01.01.2022.  Дозволяється дострокове застосування. Дані зміни  не впливають на фінансову звітність Компанії.</w:t>
      </w:r>
    </w:p>
    <w:p w:rsidR="00DD262C" w:rsidRPr="00DD262C" w:rsidRDefault="00DD262C" w:rsidP="00DD262C">
      <w:pPr>
        <w:spacing w:after="200"/>
        <w:jc w:val="both"/>
        <w:rPr>
          <w:rFonts w:ascii="Times New Roman" w:hAnsi="Times New Roman" w:cs="Times New Roman"/>
          <w:lang w:val="uk-UA"/>
        </w:rPr>
      </w:pPr>
      <w:r w:rsidRPr="00DD262C">
        <w:rPr>
          <w:rFonts w:ascii="Times New Roman" w:hAnsi="Times New Roman" w:cs="Times New Roman"/>
          <w:b/>
          <w:lang w:val="uk-UA"/>
        </w:rPr>
        <w:t xml:space="preserve">      Щорічні поправки в МСФЗ (2018-2020): МСФЗ (IFRS) 16</w:t>
      </w:r>
      <w:r w:rsidRPr="00DD262C">
        <w:rPr>
          <w:rFonts w:ascii="Times New Roman" w:hAnsi="Times New Roman" w:cs="Times New Roman"/>
          <w:lang w:val="uk-UA"/>
        </w:rPr>
        <w:t xml:space="preserve">  Стимулюючі платежі по оренді. Поправка уточнює ілюстративний приклад № 13 до МСФЗ (IFRS) 16 шляхом виключення прикладу урахування відшкодування, отриманого орендарем від орендодавця в якості компенсації за понесені витрати на поліпшення об'єкта оренди.</w:t>
      </w:r>
      <w:r w:rsidRPr="00DD262C">
        <w:rPr>
          <w:rFonts w:ascii="Times New Roman" w:hAnsi="Times New Roman" w:cs="Times New Roman"/>
          <w:lang w:val="uk-UA"/>
        </w:rPr>
        <w:tab/>
        <w:t>Дата застосування  01.01.2022.  Дозволяється дострокове застосування. Дані зміни  не впливають на фінансову звітність Компанії.</w:t>
      </w:r>
    </w:p>
    <w:p w:rsidR="00DD262C" w:rsidRPr="00DD262C" w:rsidRDefault="00DD262C" w:rsidP="00DD262C">
      <w:pPr>
        <w:spacing w:after="200"/>
        <w:jc w:val="both"/>
        <w:rPr>
          <w:rFonts w:ascii="Times New Roman" w:hAnsi="Times New Roman" w:cs="Times New Roman"/>
          <w:lang w:val="uk-UA"/>
        </w:rPr>
      </w:pPr>
      <w:r w:rsidRPr="00DD262C">
        <w:rPr>
          <w:rFonts w:ascii="Times New Roman" w:hAnsi="Times New Roman" w:cs="Times New Roman"/>
          <w:b/>
          <w:lang w:val="uk-UA"/>
        </w:rPr>
        <w:t xml:space="preserve">     Щорічні поправки в МСФЗ (2018-2020): МСБО (IAS) 41</w:t>
      </w:r>
      <w:r w:rsidRPr="00DD262C">
        <w:rPr>
          <w:rFonts w:ascii="Times New Roman" w:hAnsi="Times New Roman" w:cs="Times New Roman"/>
          <w:lang w:val="uk-UA"/>
        </w:rPr>
        <w:t xml:space="preserve"> Ефекти оподаткування при визначенні справедливої вартості. Поправка виключає вимогу IAS 41:22, яка вказує, що потоки грошових коштів, пов'язані з оподаткуванням, не включаються до розрахунків справедливої вартості біологічних активів. Поправка призводить до відповідності IAS 41 і IFRS 13.</w:t>
      </w:r>
      <w:r w:rsidRPr="00DD262C">
        <w:rPr>
          <w:rFonts w:ascii="Times New Roman" w:hAnsi="Times New Roman" w:cs="Times New Roman"/>
          <w:lang w:val="uk-UA"/>
        </w:rPr>
        <w:tab/>
        <w:t>Дата застосування  01.01.2022.  Дозволяється дострокове застосування. Дані зміни  не впливають на фінансову звітність Компанії.</w:t>
      </w:r>
    </w:p>
    <w:p w:rsidR="00DD262C" w:rsidRPr="00DD262C" w:rsidRDefault="00DD262C" w:rsidP="00DD262C">
      <w:pPr>
        <w:tabs>
          <w:tab w:val="left" w:pos="2263"/>
          <w:tab w:val="left" w:pos="8217"/>
        </w:tabs>
        <w:jc w:val="both"/>
        <w:rPr>
          <w:rFonts w:ascii="Times New Roman" w:hAnsi="Times New Roman" w:cs="Times New Roman"/>
          <w:lang w:val="uk-UA"/>
        </w:rPr>
      </w:pPr>
      <w:r w:rsidRPr="00DD262C">
        <w:rPr>
          <w:rFonts w:ascii="Times New Roman" w:hAnsi="Times New Roman" w:cs="Times New Roman"/>
          <w:b/>
          <w:lang w:val="uk-UA"/>
        </w:rPr>
        <w:t xml:space="preserve">      МСБО 1 «Подання фінансової звітності»</w:t>
      </w:r>
      <w:r w:rsidRPr="00DD262C">
        <w:rPr>
          <w:rFonts w:ascii="Times New Roman" w:hAnsi="Times New Roman" w:cs="Times New Roman"/>
          <w:lang w:val="uk-UA"/>
        </w:rPr>
        <w:t xml:space="preserve">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Сутність поправок:</w:t>
      </w:r>
    </w:p>
    <w:p w:rsidR="00DD262C" w:rsidRPr="00DD262C" w:rsidRDefault="00DD262C" w:rsidP="00DD262C">
      <w:pPr>
        <w:pStyle w:val="ad"/>
        <w:numPr>
          <w:ilvl w:val="0"/>
          <w:numId w:val="6"/>
        </w:numPr>
        <w:spacing w:after="0" w:line="240" w:lineRule="auto"/>
        <w:jc w:val="both"/>
        <w:rPr>
          <w:rFonts w:ascii="Times New Roman" w:hAnsi="Times New Roman"/>
          <w:sz w:val="24"/>
          <w:szCs w:val="24"/>
        </w:rPr>
      </w:pPr>
      <w:r w:rsidRPr="00DD262C">
        <w:rPr>
          <w:rFonts w:ascii="Times New Roman" w:hAnsi="Times New Roman"/>
          <w:sz w:val="24"/>
          <w:szCs w:val="24"/>
        </w:rPr>
        <w:t>уточнено, що зобов'язання класифікується як довгострокове, якщо у організації є право відстрочити врегулювання зобов'язання щонайменше на 12 місяців, а право компанії на відстрочку розрахунків має існувати на кінець звітного періоду;</w:t>
      </w:r>
    </w:p>
    <w:p w:rsidR="00DD262C" w:rsidRPr="00DD262C" w:rsidRDefault="00DD262C" w:rsidP="00DD262C">
      <w:pPr>
        <w:pStyle w:val="ad"/>
        <w:numPr>
          <w:ilvl w:val="0"/>
          <w:numId w:val="6"/>
        </w:numPr>
        <w:spacing w:after="0" w:line="240" w:lineRule="auto"/>
        <w:jc w:val="both"/>
        <w:rPr>
          <w:rFonts w:ascii="Times New Roman" w:hAnsi="Times New Roman"/>
          <w:sz w:val="24"/>
          <w:szCs w:val="24"/>
        </w:rPr>
      </w:pPr>
      <w:r w:rsidRPr="00DD262C">
        <w:rPr>
          <w:rFonts w:ascii="Times New Roman" w:hAnsi="Times New Roman"/>
          <w:sz w:val="24"/>
          <w:szCs w:val="24"/>
        </w:rPr>
        <w:t>класифікація залежить тільки він наявності такого права і не залежить від імовірності того, чи планує компанія скористатися цим правом - на класифікацію не впливають наміри чи очікування керівництва щодо того, чи компанія  реалізує своє право на відстрочку розрахунків;</w:t>
      </w:r>
    </w:p>
    <w:p w:rsidR="00DD262C" w:rsidRPr="00DD262C" w:rsidRDefault="00DD262C" w:rsidP="00DD262C">
      <w:pPr>
        <w:pStyle w:val="ad"/>
        <w:numPr>
          <w:ilvl w:val="0"/>
          <w:numId w:val="6"/>
        </w:numPr>
        <w:spacing w:after="0" w:line="240" w:lineRule="auto"/>
        <w:jc w:val="both"/>
        <w:rPr>
          <w:rFonts w:ascii="Times New Roman" w:hAnsi="Times New Roman"/>
          <w:sz w:val="24"/>
          <w:szCs w:val="24"/>
        </w:rPr>
      </w:pPr>
      <w:r w:rsidRPr="00DD262C">
        <w:rPr>
          <w:rFonts w:ascii="Times New Roman" w:hAnsi="Times New Roman"/>
          <w:sz w:val="24"/>
          <w:szCs w:val="24"/>
        </w:rPr>
        <w:t>роз’яснення впливу умов кредитування на класифікацію  - якщо право відстрочити врегулювання зобов'язання залежить від виконання організацією певних умов, то дане право існує на дату закінчення звітного періоду тільки в тому випадку, якщо організація виконала ці умови на дату закінчення звітного періоду. Організація повинна виконати ці умови на дату закінчення звітного періоду, навіть якщо перевірка їх виконання здійснюється кредитором пізніше; і</w:t>
      </w:r>
    </w:p>
    <w:p w:rsidR="00DD262C" w:rsidRPr="00DD262C" w:rsidRDefault="00DD262C" w:rsidP="00DD262C">
      <w:pPr>
        <w:spacing w:after="200"/>
        <w:jc w:val="both"/>
        <w:rPr>
          <w:rFonts w:ascii="Times New Roman" w:hAnsi="Times New Roman" w:cs="Times New Roman"/>
          <w:lang w:val="uk-UA"/>
        </w:rPr>
      </w:pPr>
      <w:r w:rsidRPr="00DD262C">
        <w:rPr>
          <w:rFonts w:ascii="Times New Roman" w:hAnsi="Times New Roman" w:cs="Times New Roman"/>
          <w:lang w:val="uk-UA"/>
        </w:rPr>
        <w:t>роз’яснення вимог до класифікації зобов'язань, які компанія може або може погасити шляхом випуску власних інструментів власного капіталу.</w:t>
      </w:r>
      <w:r w:rsidRPr="00DD262C">
        <w:rPr>
          <w:rFonts w:ascii="Times New Roman" w:hAnsi="Times New Roman" w:cs="Times New Roman"/>
          <w:lang w:val="uk-UA"/>
        </w:rPr>
        <w:tab/>
        <w:t>Дата застосування  1 січня 2023 року:</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 Зміни до МСБО (IAS) 1 “Подання фінансової звітності” – Поправки роз'яснюють критерій у МСБО 1 для класифікації зобов'язання як довгострокового: вимога до суб'єкта господарювання мати право відкласти погашення зобов'язання принаймні на 12 місяців після звітного періоду.</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 xml:space="preserve">   -Зміни до МСБО (IAS) 1 “Подання фінансової звітності”, до Практичних рекомендацій № 2 з МСФЗ “Формування суджень щодо суттєвості”;</w:t>
      </w:r>
    </w:p>
    <w:p w:rsidR="00DD262C" w:rsidRPr="00DD262C" w:rsidRDefault="00DD262C" w:rsidP="00DD262C">
      <w:pPr>
        <w:spacing w:after="200"/>
        <w:jc w:val="both"/>
        <w:rPr>
          <w:rFonts w:ascii="Times New Roman" w:hAnsi="Times New Roman" w:cs="Times New Roman"/>
          <w:lang w:val="uk-UA"/>
        </w:rPr>
      </w:pPr>
      <w:r w:rsidRPr="00DD262C">
        <w:rPr>
          <w:rFonts w:ascii="Times New Roman" w:hAnsi="Times New Roman" w:cs="Times New Roman"/>
          <w:lang w:val="uk-UA"/>
        </w:rPr>
        <w:t xml:space="preserve">  Дозволяється дострокове застосування. Дані зміни  не впливають на фінансову звітність Компанії.</w:t>
      </w:r>
    </w:p>
    <w:p w:rsidR="00DD262C" w:rsidRPr="00DD262C" w:rsidRDefault="00DD262C" w:rsidP="00DD262C">
      <w:pPr>
        <w:pStyle w:val="ad"/>
        <w:tabs>
          <w:tab w:val="left" w:pos="522"/>
        </w:tabs>
        <w:ind w:left="0"/>
        <w:jc w:val="both"/>
        <w:rPr>
          <w:rFonts w:ascii="Times New Roman" w:hAnsi="Times New Roman"/>
          <w:sz w:val="24"/>
          <w:szCs w:val="24"/>
        </w:rPr>
      </w:pPr>
      <w:r w:rsidRPr="00DD262C">
        <w:rPr>
          <w:rFonts w:ascii="Times New Roman" w:hAnsi="Times New Roman"/>
          <w:b/>
          <w:sz w:val="24"/>
          <w:szCs w:val="24"/>
        </w:rPr>
        <w:t xml:space="preserve">   МСФЗ 17 Страхові контракти</w:t>
      </w:r>
      <w:r w:rsidRPr="00DD262C">
        <w:rPr>
          <w:rFonts w:ascii="Times New Roman" w:hAnsi="Times New Roman"/>
          <w:sz w:val="24"/>
          <w:szCs w:val="24"/>
        </w:rPr>
        <w:t xml:space="preserve"> </w:t>
      </w:r>
      <w:r w:rsidRPr="00DD262C">
        <w:rPr>
          <w:rFonts w:ascii="Times New Roman" w:hAnsi="Times New Roman"/>
          <w:sz w:val="24"/>
          <w:szCs w:val="24"/>
        </w:rPr>
        <w:tab/>
        <w:t>Виключення деяких видів договорів зі сфери застосування МСФЗ 17</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Спрощене подання активів і зобов'язань, пов'язаних з договорами страхування в звіті про фінансовий стан</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Вплив облікових оцінок, зроблених в попередніх проміжній  фінансовій звітності</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Визнання і розподіл аквізаційних  грошових потоків</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Зміна у визнанні відшкодування за договорами перестрахування в звіті про прибутки і збитки</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Розподіл маржі за передбачені договором страхування інвестиційні послуги (CSM)</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Можливість зниження фінансового ризику для договорів вхідного перестрахування і непохідних фінансових інструментів</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Перенесення дати вступу в силу МСФЗ 17, а також продовження періоду звільнення від застосування МСФЗ (IFRS) 9 для страхових компаній до 1 січня 2023 року</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Спрощений облік зобов'язань по врегулюванню збитків за договорами, які виникли до дати переходу на МСФЗ 17</w:t>
      </w:r>
    </w:p>
    <w:p w:rsidR="00DD262C" w:rsidRPr="00DD262C" w:rsidRDefault="00DD262C" w:rsidP="00DD262C">
      <w:pPr>
        <w:pStyle w:val="ad"/>
        <w:numPr>
          <w:ilvl w:val="0"/>
          <w:numId w:val="7"/>
        </w:numPr>
        <w:tabs>
          <w:tab w:val="left" w:pos="522"/>
        </w:tabs>
        <w:spacing w:after="0" w:line="240" w:lineRule="auto"/>
        <w:jc w:val="both"/>
        <w:rPr>
          <w:rFonts w:ascii="Times New Roman" w:hAnsi="Times New Roman"/>
          <w:sz w:val="24"/>
          <w:szCs w:val="24"/>
        </w:rPr>
      </w:pPr>
      <w:r w:rsidRPr="00DD262C">
        <w:rPr>
          <w:rFonts w:ascii="Times New Roman" w:hAnsi="Times New Roman"/>
          <w:sz w:val="24"/>
          <w:szCs w:val="24"/>
        </w:rPr>
        <w:t>Послаблення в застосуванні технік для зниження фінансового ризику</w:t>
      </w:r>
    </w:p>
    <w:p w:rsidR="00DD262C" w:rsidRPr="00DD262C" w:rsidRDefault="00DD262C" w:rsidP="00DD262C">
      <w:pPr>
        <w:jc w:val="both"/>
        <w:rPr>
          <w:rFonts w:ascii="Times New Roman" w:hAnsi="Times New Roman" w:cs="Times New Roman"/>
          <w:iCs/>
          <w:lang w:val="uk-UA"/>
        </w:rPr>
      </w:pPr>
      <w:r w:rsidRPr="00DD262C">
        <w:rPr>
          <w:rFonts w:ascii="Times New Roman" w:hAnsi="Times New Roman" w:cs="Times New Roman"/>
          <w:lang w:val="uk-UA"/>
        </w:rPr>
        <w:t>Можливість визначення інвестиційного договору з умовами дискреційного участі в момент переходу на новий стандарт, ніж в момент виникнення договору</w:t>
      </w:r>
      <w:r w:rsidRPr="00DD262C">
        <w:rPr>
          <w:rFonts w:ascii="Times New Roman" w:hAnsi="Times New Roman" w:cs="Times New Roman"/>
          <w:lang w:val="uk-UA"/>
        </w:rPr>
        <w:tab/>
        <w:t xml:space="preserve">Дата застосування  01.01.2023.  </w:t>
      </w:r>
      <w:r w:rsidRPr="00DD262C">
        <w:rPr>
          <w:rFonts w:ascii="Times New Roman" w:hAnsi="Times New Roman" w:cs="Times New Roman"/>
          <w:iCs/>
          <w:lang w:val="uk-UA"/>
        </w:rPr>
        <w:t>Керівництво вивчає вплив зазначених змін  на фінансову звітність  Товариства.</w:t>
      </w:r>
    </w:p>
    <w:p w:rsidR="00DD262C" w:rsidRPr="00DD262C" w:rsidRDefault="00DD262C" w:rsidP="00DD262C">
      <w:pPr>
        <w:jc w:val="both"/>
        <w:rPr>
          <w:rFonts w:ascii="Times New Roman" w:hAnsi="Times New Roman" w:cs="Times New Roman"/>
          <w:iCs/>
          <w:lang w:val="uk-UA"/>
        </w:rPr>
      </w:pPr>
    </w:p>
    <w:p w:rsidR="00DD262C" w:rsidRPr="00DD262C" w:rsidRDefault="00DD262C" w:rsidP="00DD262C">
      <w:pPr>
        <w:pStyle w:val="ac"/>
        <w:ind w:firstLine="539"/>
        <w:jc w:val="both"/>
        <w:rPr>
          <w:b/>
          <w:i/>
          <w:sz w:val="24"/>
          <w:szCs w:val="24"/>
          <w:lang w:val="uk-UA"/>
        </w:rPr>
      </w:pPr>
      <w:bookmarkStart w:id="6" w:name="_Toc120529790"/>
      <w:r w:rsidRPr="00DD262C">
        <w:rPr>
          <w:b/>
          <w:i/>
          <w:sz w:val="24"/>
          <w:szCs w:val="24"/>
          <w:lang w:val="uk-UA"/>
        </w:rPr>
        <w:t>Нові положення бухгалтерського обліку</w:t>
      </w:r>
      <w:bookmarkEnd w:id="6"/>
      <w:r w:rsidRPr="00DD262C">
        <w:rPr>
          <w:b/>
          <w:i/>
          <w:sz w:val="24"/>
          <w:szCs w:val="24"/>
          <w:lang w:val="uk-UA"/>
        </w:rPr>
        <w:t>.</w:t>
      </w:r>
    </w:p>
    <w:p w:rsidR="00DD262C" w:rsidRPr="00DD262C" w:rsidRDefault="00DD262C" w:rsidP="00DD262C">
      <w:pPr>
        <w:pStyle w:val="ac"/>
        <w:ind w:firstLine="539"/>
        <w:jc w:val="both"/>
        <w:rPr>
          <w:b/>
          <w:i/>
          <w:sz w:val="24"/>
          <w:szCs w:val="24"/>
          <w:lang w:val="uk-UA"/>
        </w:rPr>
      </w:pPr>
    </w:p>
    <w:p w:rsidR="00DD262C" w:rsidRPr="00DD262C" w:rsidRDefault="00DD262C" w:rsidP="00DD262C">
      <w:pPr>
        <w:pStyle w:val="ac"/>
        <w:ind w:firstLine="539"/>
        <w:jc w:val="both"/>
        <w:rPr>
          <w:color w:val="000000"/>
          <w:sz w:val="24"/>
          <w:szCs w:val="24"/>
          <w:lang w:val="uk-UA"/>
        </w:rPr>
      </w:pPr>
      <w:r w:rsidRPr="00DD262C">
        <w:rPr>
          <w:color w:val="000000"/>
          <w:sz w:val="24"/>
          <w:szCs w:val="24"/>
          <w:lang w:val="uk-UA"/>
        </w:rPr>
        <w:t xml:space="preserve">Були випущені окремі нові стандарти та інтерпретації, які є обов'язковими до застосування у річних періодах, що починаються з 1 січня 2023 року або після цієї дати, і які не були достроково застосовані Групою. </w:t>
      </w:r>
    </w:p>
    <w:p w:rsidR="00DD262C" w:rsidRPr="00DD262C" w:rsidRDefault="00DD262C" w:rsidP="00DD262C">
      <w:pPr>
        <w:pStyle w:val="ac"/>
        <w:ind w:firstLine="539"/>
        <w:jc w:val="both"/>
        <w:rPr>
          <w:color w:val="000000"/>
          <w:sz w:val="24"/>
          <w:szCs w:val="24"/>
          <w:lang w:val="uk-UA"/>
        </w:rPr>
      </w:pPr>
      <w:hyperlink r:id="rId5">
        <w:r w:rsidRPr="00DD262C">
          <w:rPr>
            <w:i/>
            <w:iCs/>
            <w:color w:val="000000"/>
            <w:sz w:val="24"/>
            <w:szCs w:val="24"/>
            <w:lang w:val="uk-UA"/>
          </w:rPr>
          <w:t>Відстрочені податки, пов'язані з активами та зобов'язаннями, що виникають за однією операцією</w:t>
        </w:r>
      </w:hyperlink>
      <w:r w:rsidRPr="00DD262C">
        <w:rPr>
          <w:bCs/>
          <w:i/>
          <w:iCs/>
          <w:sz w:val="24"/>
          <w:szCs w:val="24"/>
          <w:lang w:val="uk-UA"/>
        </w:rPr>
        <w:t>, – зміни МСБО 12 (опубліковані 7 травня 2021 року і вступають у силу для річних періодів, які починаються з 1 січня 2023 року або після цієї дати).</w:t>
      </w:r>
      <w:r w:rsidRPr="00DD262C">
        <w:rPr>
          <w:i/>
          <w:color w:val="000000"/>
          <w:sz w:val="24"/>
          <w:szCs w:val="24"/>
          <w:lang w:val="uk-UA"/>
        </w:rPr>
        <w:t xml:space="preserve"> </w:t>
      </w:r>
      <w:r w:rsidRPr="00DD262C">
        <w:rPr>
          <w:color w:val="000000"/>
          <w:sz w:val="24"/>
          <w:szCs w:val="24"/>
          <w:lang w:val="uk-UA"/>
        </w:rPr>
        <w:t xml:space="preserve"> </w:t>
      </w:r>
    </w:p>
    <w:p w:rsidR="00DD262C" w:rsidRPr="00DD262C" w:rsidRDefault="00DD262C" w:rsidP="00DD262C">
      <w:pPr>
        <w:pStyle w:val="ac"/>
        <w:ind w:firstLine="539"/>
        <w:jc w:val="both"/>
        <w:rPr>
          <w:sz w:val="24"/>
          <w:szCs w:val="24"/>
          <w:lang w:val="uk-UA"/>
        </w:rPr>
      </w:pPr>
      <w:r w:rsidRPr="00DD262C">
        <w:rPr>
          <w:b/>
          <w:i/>
          <w:color w:val="000000"/>
          <w:sz w:val="24"/>
          <w:szCs w:val="24"/>
          <w:lang w:val="uk-UA"/>
        </w:rPr>
        <w:t>Зміни МСБО 12</w:t>
      </w:r>
      <w:r w:rsidRPr="00DD262C">
        <w:rPr>
          <w:color w:val="000000"/>
          <w:sz w:val="24"/>
          <w:szCs w:val="24"/>
          <w:lang w:val="uk-UA"/>
        </w:rPr>
        <w:t xml:space="preserve"> стосуються обліку відстроченого податку за такими операціями, як оренда та зобов'язання з виведення активів з експлуатації. У певних випадках організації звільняються від вимоги визнавати відстрочений податок, коли вони вперше визнають активи або зобов'язання. Раніше існувала невизначеність щодо того, чи звільнення стосується таких операцій, як як оренда та зобов'язання з виведення активів з експлуатації, за якими одночасно визнається актив та зобов'язання. Змінений стандарт уточнює, що звільнення не поширюється на такі операції, і організації повинні визнавати відстрочений податок за ними. </w:t>
      </w:r>
      <w:hyperlink r:id="rId6">
        <w:r w:rsidRPr="00DD262C">
          <w:rPr>
            <w:color w:val="000000"/>
            <w:sz w:val="24"/>
            <w:szCs w:val="24"/>
            <w:lang w:val="uk-UA"/>
          </w:rPr>
          <w:t>Зміни</w:t>
        </w:r>
      </w:hyperlink>
      <w:r w:rsidRPr="00DD262C">
        <w:rPr>
          <w:sz w:val="24"/>
          <w:szCs w:val="24"/>
          <w:lang w:val="uk-UA"/>
        </w:rPr>
        <w:t xml:space="preserve"> вимагають від компаній визнавати відстрочений податок за операціями, за якими при початковому визнанні виникають рівні суми тимчасових різниць, які збільшують і зменшують суму оподаткування.  Наразі Компанія  оцінює вплив цих змін на її фінансову звітність.</w:t>
      </w:r>
    </w:p>
    <w:p w:rsidR="00DD262C" w:rsidRPr="00DD262C" w:rsidRDefault="00DD262C" w:rsidP="00DD262C">
      <w:pPr>
        <w:pStyle w:val="ac"/>
        <w:ind w:firstLine="539"/>
        <w:jc w:val="both"/>
        <w:rPr>
          <w:color w:val="0000FF"/>
          <w:sz w:val="24"/>
          <w:szCs w:val="24"/>
          <w:lang w:val="uk-UA"/>
        </w:rPr>
      </w:pPr>
    </w:p>
    <w:p w:rsidR="00DD262C" w:rsidRPr="00DD262C" w:rsidRDefault="00DD262C" w:rsidP="00DD262C">
      <w:pPr>
        <w:pStyle w:val="ac"/>
        <w:ind w:firstLine="539"/>
        <w:jc w:val="both"/>
        <w:rPr>
          <w:color w:val="0000FF"/>
          <w:sz w:val="24"/>
          <w:szCs w:val="24"/>
          <w:lang w:val="uk-UA"/>
        </w:rPr>
      </w:pPr>
      <w:r w:rsidRPr="00DD262C">
        <w:rPr>
          <w:i/>
          <w:color w:val="000000"/>
          <w:sz w:val="24"/>
          <w:szCs w:val="24"/>
          <w:lang w:val="uk-UA"/>
        </w:rPr>
        <w:t xml:space="preserve"> Класифікація зобов'язань як поточних або довгострокових зобов'язань – </w:t>
      </w:r>
      <w:r w:rsidRPr="00DD262C">
        <w:rPr>
          <w:b/>
          <w:i/>
          <w:color w:val="000000"/>
          <w:sz w:val="24"/>
          <w:szCs w:val="24"/>
          <w:lang w:val="uk-UA"/>
        </w:rPr>
        <w:t>зміни МСБО 1</w:t>
      </w:r>
      <w:r w:rsidRPr="00DD262C">
        <w:rPr>
          <w:i/>
          <w:color w:val="000000"/>
          <w:sz w:val="24"/>
          <w:szCs w:val="24"/>
          <w:lang w:val="uk-UA"/>
        </w:rPr>
        <w:t xml:space="preserve"> (опубліковані 23 січня 2020 року і вступають у силу для річних періодів, які починаються з 1 січня 2022 року або після цієї дати). </w:t>
      </w:r>
      <w:r w:rsidRPr="00DD262C">
        <w:rPr>
          <w:color w:val="000000"/>
          <w:sz w:val="24"/>
          <w:szCs w:val="24"/>
          <w:lang w:val="uk-UA"/>
        </w:rPr>
        <w:t>Ці зміни обмеженої сфери застосування уточнюють, що зобов'язання класифікуються у короткострокові або довгострокові залежно від прав, існуючих на кінець звітного періоду. Зобов'язання є довгостроковим, якщо організація має на кінець звітного періоду суттєве право відкласти їх погашення, як мінімум, на 12 місяців. Роз’яснення у стандарті більше не вимагає, щоб таке право було безумовним. Очікування керівництва щодо подальшої реалізації ним права відкласти розрахунок не впливають на класифікацію зобов'язань. Право відкласти розрахунок існує виключно тоді, коли суб'єкт господарювання дотримується відповідних умов станом на кінець звітного періоду. Зобов'язання класифікується як поточне зобов'язання, якщо умову не дотримано станом на або перед звітною датою, навіть якщо від кредитора отримано звільнення від виконання умови після закінчення звітного періоду. І навпаки, кредит класифікується як довгострокове зобов'язання, якщо умову кредиту не дотримано тільки після звітної дати. Крім того, зміни містять роз'яснення вимог до класифікації боргових зобов'язань, які компанія може врегулювати за рахунок їх конвертації в інструменти капіталу. Розрахунок визначається як погашення зобов'язання грошовими коштами, іншими ресурсами, які втілюють у собі економічні вигоди, або власними інструментами капіталу суб'єкта господарювання. Передбачено виключення для конвертованих інструментів, які можуть бути конвертовані у власний капітал, але тільки для тих інструментів, де опціон на конвертацію класифікується як дольовий інструмент в якості окремого компонента комбінованого фінансового інструмента.</w:t>
      </w:r>
      <w:r w:rsidRPr="00DD262C">
        <w:rPr>
          <w:sz w:val="24"/>
          <w:szCs w:val="24"/>
          <w:lang w:val="uk-UA"/>
        </w:rPr>
        <w:t xml:space="preserve"> Наразі Компанія  оцінює вплив цих змін на її фінансову звітність.</w:t>
      </w:r>
    </w:p>
    <w:p w:rsidR="00DD262C" w:rsidRPr="00DD262C" w:rsidRDefault="00DD262C" w:rsidP="00DD262C">
      <w:pPr>
        <w:pStyle w:val="ac"/>
        <w:ind w:firstLine="539"/>
        <w:jc w:val="both"/>
        <w:rPr>
          <w:color w:val="0000FF"/>
          <w:sz w:val="24"/>
          <w:szCs w:val="24"/>
          <w:lang w:val="uk-UA"/>
        </w:rPr>
      </w:pPr>
      <w:r w:rsidRPr="00DD262C">
        <w:rPr>
          <w:color w:val="000000"/>
          <w:sz w:val="24"/>
          <w:szCs w:val="24"/>
          <w:lang w:val="uk-UA"/>
        </w:rPr>
        <w:t xml:space="preserve"> </w:t>
      </w:r>
    </w:p>
    <w:p w:rsidR="00DD262C" w:rsidRPr="00DD262C" w:rsidRDefault="00DD262C" w:rsidP="00DD262C">
      <w:pPr>
        <w:pStyle w:val="ac"/>
        <w:ind w:firstLine="539"/>
        <w:jc w:val="both"/>
        <w:rPr>
          <w:color w:val="0000FF"/>
          <w:sz w:val="24"/>
          <w:szCs w:val="24"/>
          <w:lang w:val="uk-UA"/>
        </w:rPr>
      </w:pPr>
      <w:r w:rsidRPr="00DD262C">
        <w:rPr>
          <w:i/>
          <w:color w:val="000000"/>
          <w:sz w:val="24"/>
          <w:szCs w:val="24"/>
          <w:lang w:val="uk-UA"/>
        </w:rPr>
        <w:t xml:space="preserve">Класифікація зобов'язань як поточних або довгострокових зобов'язань </w:t>
      </w:r>
      <w:r w:rsidRPr="00DD262C">
        <w:rPr>
          <w:bCs/>
          <w:i/>
          <w:iCs/>
          <w:color w:val="000000"/>
          <w:sz w:val="24"/>
          <w:szCs w:val="24"/>
          <w:lang w:val="uk-UA"/>
        </w:rPr>
        <w:t xml:space="preserve">– перенесення дати набуття чинності – </w:t>
      </w:r>
      <w:r w:rsidRPr="00DD262C">
        <w:rPr>
          <w:b/>
          <w:bCs/>
          <w:i/>
          <w:iCs/>
          <w:color w:val="000000"/>
          <w:sz w:val="24"/>
          <w:szCs w:val="24"/>
          <w:lang w:val="uk-UA"/>
        </w:rPr>
        <w:t>зміни МСБО 1</w:t>
      </w:r>
      <w:r w:rsidRPr="00DD262C">
        <w:rPr>
          <w:bCs/>
          <w:i/>
          <w:iCs/>
          <w:color w:val="000000"/>
          <w:sz w:val="24"/>
          <w:szCs w:val="24"/>
          <w:lang w:val="uk-UA"/>
        </w:rPr>
        <w:t xml:space="preserve"> (опубліковані 15 липня 2020 року і вступають у силу для річних періодів, які починаються з 1 січня 2023 року або після цієї дати).</w:t>
      </w:r>
      <w:r w:rsidRPr="00DD262C">
        <w:rPr>
          <w:color w:val="000000"/>
          <w:sz w:val="24"/>
          <w:szCs w:val="24"/>
          <w:lang w:val="uk-UA"/>
        </w:rPr>
        <w:t xml:space="preserve"> Зміни МСБО 1 щодо класифікації зобов'язань як поточних або довгострокових зобов'язань були опубліковані у січні 2020 року з початковою датою набуття чинності з 1 січня 2022 року. Проте у зв'язку з пандемією COVID-19 дату набуття чинності було перенесено на один рік, щоб надати організаціям більше часу для запровадження змін, пов'язаних із класифікацією, у результаті внесення змін.</w:t>
      </w:r>
      <w:r w:rsidRPr="00DD262C">
        <w:rPr>
          <w:sz w:val="24"/>
          <w:szCs w:val="24"/>
          <w:lang w:val="uk-UA"/>
        </w:rPr>
        <w:t xml:space="preserve"> Наразі Компанія  оцінює вплив цих змін на її фінансову звітність.</w:t>
      </w:r>
    </w:p>
    <w:p w:rsidR="00DD262C" w:rsidRPr="00DD262C" w:rsidRDefault="00DD262C" w:rsidP="00DD262C">
      <w:pPr>
        <w:pStyle w:val="ac"/>
        <w:ind w:firstLine="539"/>
        <w:jc w:val="both"/>
        <w:rPr>
          <w:color w:val="0000FF"/>
          <w:sz w:val="24"/>
          <w:szCs w:val="24"/>
          <w:lang w:val="uk-UA"/>
        </w:rPr>
      </w:pPr>
      <w:r w:rsidRPr="00DD262C">
        <w:rPr>
          <w:color w:val="000000"/>
          <w:sz w:val="24"/>
          <w:szCs w:val="24"/>
          <w:lang w:val="uk-UA"/>
        </w:rPr>
        <w:t xml:space="preserve"> </w:t>
      </w:r>
    </w:p>
    <w:p w:rsidR="00DD262C" w:rsidRPr="00DD262C" w:rsidRDefault="00DD262C" w:rsidP="00DD262C">
      <w:pPr>
        <w:pStyle w:val="ac"/>
        <w:ind w:firstLine="539"/>
        <w:jc w:val="both"/>
        <w:rPr>
          <w:color w:val="000000"/>
          <w:spacing w:val="-2"/>
          <w:sz w:val="24"/>
          <w:szCs w:val="24"/>
          <w:lang w:val="uk-UA"/>
        </w:rPr>
      </w:pPr>
      <w:r w:rsidRPr="00DD262C">
        <w:rPr>
          <w:b/>
          <w:i/>
          <w:color w:val="000000"/>
          <w:sz w:val="24"/>
          <w:szCs w:val="24"/>
          <w:lang w:val="uk-UA"/>
        </w:rPr>
        <w:t>Зміни МСБО 8:</w:t>
      </w:r>
      <w:r w:rsidRPr="00DD262C">
        <w:rPr>
          <w:i/>
          <w:color w:val="000000"/>
          <w:sz w:val="24"/>
          <w:szCs w:val="24"/>
          <w:lang w:val="uk-UA"/>
        </w:rPr>
        <w:t xml:space="preserve"> Визначення облікових оцінок (опубліковані 12 лютого 2021 року та вступають в силу для річних періодів, які починаються з 1 січня 2023 року або після цієї дати). </w:t>
      </w:r>
      <w:r w:rsidRPr="00DD262C">
        <w:rPr>
          <w:color w:val="000000"/>
          <w:sz w:val="24"/>
          <w:szCs w:val="24"/>
          <w:lang w:val="uk-UA"/>
        </w:rPr>
        <w:t xml:space="preserve">Змінений МСБО 8 уточнює, як компанії повинні відрізняти зміни облікової політики від змін облікових оцінок. </w:t>
      </w:r>
    </w:p>
    <w:p w:rsidR="00DD262C" w:rsidRPr="00DD262C" w:rsidRDefault="00DD262C" w:rsidP="00DD262C">
      <w:pPr>
        <w:pStyle w:val="ac"/>
        <w:ind w:firstLine="539"/>
        <w:jc w:val="both"/>
        <w:rPr>
          <w:color w:val="0000FF"/>
          <w:sz w:val="24"/>
          <w:szCs w:val="24"/>
          <w:lang w:val="uk-UA"/>
        </w:rPr>
      </w:pPr>
      <w:r w:rsidRPr="00DD262C">
        <w:rPr>
          <w:sz w:val="24"/>
          <w:szCs w:val="24"/>
          <w:lang w:val="uk-UA"/>
        </w:rPr>
        <w:t>Наразі Компанія  оцінює вплив цих змін на її фінансову звітність.</w:t>
      </w:r>
    </w:p>
    <w:p w:rsidR="00DD262C" w:rsidRPr="00DD262C" w:rsidRDefault="00DD262C" w:rsidP="00DD262C">
      <w:pPr>
        <w:pStyle w:val="ac"/>
        <w:ind w:firstLine="539"/>
        <w:jc w:val="both"/>
        <w:rPr>
          <w:i/>
          <w:color w:val="000000"/>
          <w:sz w:val="24"/>
          <w:szCs w:val="24"/>
          <w:lang w:val="uk-UA"/>
        </w:rPr>
      </w:pPr>
    </w:p>
    <w:p w:rsidR="00DD262C" w:rsidRPr="00DD262C" w:rsidRDefault="00DD262C" w:rsidP="00DD262C">
      <w:pPr>
        <w:pStyle w:val="ac"/>
        <w:ind w:firstLine="539"/>
        <w:jc w:val="both"/>
        <w:rPr>
          <w:color w:val="0000FF"/>
          <w:sz w:val="24"/>
          <w:szCs w:val="24"/>
          <w:lang w:val="uk-UA"/>
        </w:rPr>
      </w:pPr>
      <w:r w:rsidRPr="00DD262C">
        <w:rPr>
          <w:b/>
          <w:i/>
          <w:color w:val="000000"/>
          <w:sz w:val="24"/>
          <w:szCs w:val="24"/>
          <w:lang w:val="uk-UA"/>
        </w:rPr>
        <w:t>Зміни МСБО 1 та Практичні рекомендації із застосування МСФЗ 2</w:t>
      </w:r>
      <w:r w:rsidRPr="00DD262C">
        <w:rPr>
          <w:i/>
          <w:color w:val="000000"/>
          <w:sz w:val="24"/>
          <w:szCs w:val="24"/>
          <w:lang w:val="uk-UA"/>
        </w:rPr>
        <w:t>: розкриття облікової політики (опубліковані 12 лютого 2021 року та вступають у силу для річних періодів, які починаються з 1 січня 2023 року або після цієї дати).</w:t>
      </w:r>
      <w:r w:rsidRPr="00DD262C">
        <w:rPr>
          <w:iCs/>
          <w:color w:val="000000"/>
          <w:sz w:val="24"/>
          <w:szCs w:val="24"/>
          <w:lang w:val="uk-UA"/>
        </w:rPr>
        <w:t xml:space="preserve"> </w:t>
      </w:r>
      <w:r w:rsidRPr="00DD262C">
        <w:rPr>
          <w:bCs/>
          <w:iCs/>
          <w:color w:val="000000"/>
          <w:sz w:val="24"/>
          <w:szCs w:val="24"/>
          <w:lang w:val="uk-UA"/>
        </w:rPr>
        <w:t>Зміни МСБО 1 вимагають від організацій розкривати суттєву інформацію про облікову політику, а не основні положення облікової політики. У зміненому стандарті наведено визначення суттєвої інформації про облікову політику. У зміненому стандарті також уточнюється, що інформація про облікову політику вважається суттєвою, якщо без неї користувачі фінансової звітності не змогли б зрозуміти іншу суттєву інформацію, наведену у фінансовій звітності.  У зміненому стандарті наведено ілюстративні приклади інформації про облікову політику, яка, ймовірно, вважатиметься суттєвою для фінансової звітності організації.  Крім того, змінений МСБО 1 уточнює, що несуттєву інформацію про облікову політику розкривати не потрібно. Проте якщо вона розкривається, вона не повинна ускладнювати ознайомлення з суттєвою інформацією про облікову політику.  У доповнення до цього зміненого стандарту були також переглянуті Практичні рекомендації із застосування МСФЗ 2, до яких було включено рекомендації щодо застосування концепції суттєвості при розкритті інформації про облікову політику.</w:t>
      </w:r>
      <w:r w:rsidRPr="00DD262C">
        <w:rPr>
          <w:sz w:val="24"/>
          <w:szCs w:val="24"/>
          <w:lang w:val="uk-UA"/>
        </w:rPr>
        <w:t xml:space="preserve"> Наразі Компанія  оцінює вплив цих змін на її фінансову звітність.</w:t>
      </w:r>
    </w:p>
    <w:p w:rsidR="00DD262C" w:rsidRPr="00DD262C" w:rsidRDefault="00DD262C" w:rsidP="00DD262C">
      <w:pPr>
        <w:pStyle w:val="ac"/>
        <w:ind w:firstLine="539"/>
        <w:jc w:val="both"/>
        <w:rPr>
          <w:bCs/>
          <w:iCs/>
          <w:color w:val="0000FF"/>
          <w:spacing w:val="-2"/>
          <w:sz w:val="24"/>
          <w:szCs w:val="24"/>
          <w:lang w:val="uk-UA"/>
        </w:rPr>
      </w:pPr>
      <w:r w:rsidRPr="00DD262C">
        <w:rPr>
          <w:bCs/>
          <w:iCs/>
          <w:color w:val="000000"/>
          <w:sz w:val="24"/>
          <w:szCs w:val="24"/>
          <w:lang w:val="uk-UA"/>
        </w:rPr>
        <w:t xml:space="preserve"> </w:t>
      </w:r>
    </w:p>
    <w:p w:rsidR="00DD262C" w:rsidRPr="00DD262C" w:rsidRDefault="00DD262C" w:rsidP="00DD262C">
      <w:pPr>
        <w:pStyle w:val="ac"/>
        <w:ind w:firstLine="539"/>
        <w:jc w:val="both"/>
        <w:rPr>
          <w:sz w:val="24"/>
          <w:szCs w:val="24"/>
          <w:lang w:val="uk-UA"/>
        </w:rPr>
      </w:pPr>
      <w:r w:rsidRPr="00DD262C">
        <w:rPr>
          <w:b/>
          <w:i/>
          <w:color w:val="000000"/>
          <w:sz w:val="24"/>
          <w:szCs w:val="24"/>
          <w:lang w:val="uk-UA"/>
        </w:rPr>
        <w:t>МСФЗ 17 "Договори страхування"</w:t>
      </w:r>
      <w:r w:rsidRPr="00DD262C">
        <w:rPr>
          <w:i/>
          <w:color w:val="000000"/>
          <w:sz w:val="24"/>
          <w:szCs w:val="24"/>
          <w:lang w:val="uk-UA"/>
        </w:rPr>
        <w:t xml:space="preserve"> (опублікований 18 травня 2017 року і вступає в силу для річних періодів, які починаються з 1 січня 2023 року або після цієї дати). </w:t>
      </w:r>
      <w:r w:rsidRPr="00DD262C">
        <w:rPr>
          <w:color w:val="000000"/>
          <w:sz w:val="24"/>
          <w:szCs w:val="24"/>
          <w:lang w:val="uk-UA"/>
        </w:rPr>
        <w:t>МСФЗ 17 замінює МСФЗ 4, який дозволяв компаніям застосовувати існуючу практику обліку договорів страхування. Отже, інвесторам було складно порівнювати і зіставляти фінансові результати в інших відносинах аналогічних страхових компаній. МСФЗ 17 є єдиним основаним на принципах стандартом обліку всіх видів договорів страхування, включаючи договори перестрахування, наявні у страховика. Відповідно до цього стандарту, визнання і оцінка груп договорів страхування повинні виконуватися за: (i) приведеною вартістю майбутніх грошових потоків (грошові потоки після виконання договорів), скоригованою з урахуванням ризику, в якій врахована вся наявна інформація про грошові потоки після виконання договорів, яка відповідає спостережуваній ринковій інформації, плюс (якщо вартість є зобов'язанням) чи мінус (якщо вартість є активом) (ii) сумою, яка являє собою незароблений прибуток по групі договорів (сервісна маржа за договорами). Страховики відображатимуть прибуток від групи договорів страхування за період, протягом якого вони надають страхове покриття, і в міру того, як вони звільняються від ризику. Якщо група договорів є чи стає збитковою, організація негайно відображатиме збиток. Компанія</w:t>
      </w:r>
      <w:r w:rsidRPr="00DD262C">
        <w:rPr>
          <w:color w:val="0000FF"/>
          <w:sz w:val="24"/>
          <w:szCs w:val="24"/>
          <w:lang w:val="uk-UA"/>
        </w:rPr>
        <w:t xml:space="preserve"> </w:t>
      </w:r>
      <w:r w:rsidRPr="00DD262C">
        <w:rPr>
          <w:sz w:val="24"/>
          <w:szCs w:val="24"/>
          <w:lang w:val="uk-UA"/>
        </w:rPr>
        <w:t>очікує застосувати цей стандарт до деяких гарантій виконання зобов'язань, які вона видає та які не відповідають визначенню зобов'язань із надання кредитів, і наразі оцінює вплив цього нового стандарту на свою фінансову звітність. Крім того, розглядається потенційний вплив стандарту на страхові продукти, вбудовані у кредитні договори й аналогічні інструменти.</w:t>
      </w:r>
    </w:p>
    <w:p w:rsidR="00DD262C" w:rsidRPr="00DD262C" w:rsidRDefault="00DD262C" w:rsidP="00DD262C">
      <w:pPr>
        <w:pStyle w:val="ac"/>
        <w:ind w:firstLine="539"/>
        <w:jc w:val="both"/>
        <w:rPr>
          <w:sz w:val="24"/>
          <w:szCs w:val="24"/>
          <w:lang w:val="uk-UA"/>
        </w:rPr>
      </w:pPr>
    </w:p>
    <w:p w:rsidR="00DD262C" w:rsidRPr="00DD262C" w:rsidRDefault="00DD262C" w:rsidP="00DD262C">
      <w:pPr>
        <w:pStyle w:val="ac"/>
        <w:ind w:firstLine="539"/>
        <w:jc w:val="both"/>
        <w:rPr>
          <w:color w:val="000000"/>
          <w:sz w:val="24"/>
          <w:szCs w:val="24"/>
          <w:lang w:val="uk-UA"/>
        </w:rPr>
      </w:pPr>
      <w:r w:rsidRPr="00DD262C">
        <w:rPr>
          <w:b/>
          <w:i/>
          <w:color w:val="000000"/>
          <w:sz w:val="24"/>
          <w:szCs w:val="24"/>
          <w:lang w:val="uk-UA"/>
        </w:rPr>
        <w:t>Зміни МСФЗ 17 та зміна МСФЗ 4</w:t>
      </w:r>
      <w:r w:rsidRPr="00DD262C">
        <w:rPr>
          <w:i/>
          <w:color w:val="000000"/>
          <w:sz w:val="24"/>
          <w:szCs w:val="24"/>
          <w:lang w:val="uk-UA"/>
        </w:rPr>
        <w:t xml:space="preserve"> (опубліковані 25 червня 2020 року і вступають у силу для річних періодів, які починаються з 1 січня 2023 року або після цієї дати). </w:t>
      </w:r>
      <w:r w:rsidRPr="00DD262C">
        <w:rPr>
          <w:color w:val="000000"/>
          <w:sz w:val="24"/>
          <w:szCs w:val="24"/>
          <w:lang w:val="uk-UA"/>
        </w:rPr>
        <w:t xml:space="preserve">Зміни включають роз'яснення для спрощення запровадження МСФЗ 17 і спрощення окремих вимог стандарту та перехідних положень. Ці зміни стосуються восьми областей МСФЗ 17 і не передбачають зміни основоположних принципів стандарту. До МСФЗ 17 були внесені такі зміни: </w:t>
      </w:r>
    </w:p>
    <w:p w:rsidR="00DD262C" w:rsidRPr="00DD262C" w:rsidRDefault="00DD262C" w:rsidP="00DD262C">
      <w:pPr>
        <w:pStyle w:val="ac"/>
        <w:ind w:firstLine="539"/>
        <w:jc w:val="both"/>
        <w:rPr>
          <w:sz w:val="24"/>
          <w:szCs w:val="24"/>
          <w:lang w:val="uk-UA"/>
        </w:rPr>
      </w:pPr>
      <w:r w:rsidRPr="00DD262C">
        <w:rPr>
          <w:i/>
          <w:sz w:val="24"/>
          <w:szCs w:val="24"/>
          <w:lang w:val="uk-UA"/>
        </w:rPr>
        <w:t>Дата набуття чинності:</w:t>
      </w:r>
      <w:r w:rsidRPr="00DD262C">
        <w:rPr>
          <w:sz w:val="24"/>
          <w:szCs w:val="24"/>
          <w:lang w:val="uk-UA"/>
        </w:rPr>
        <w:t xml:space="preserve"> Дату набуття чинності МСФЗ 17 (зі змінами) відкладено на два роки. Стандарт має застосовуватися до річних звітних періодів, які починаються з 1 січня 2023 року або після цієї дати. Встановлений у МСФЗ 4 строк дії тимчасового звільнення від застосування МСФЗ 9 також перенесено на річні звітні періоди, які починаються з 1 січня 2023 року або після цієї дати.</w:t>
      </w:r>
    </w:p>
    <w:p w:rsidR="00DD262C" w:rsidRPr="00DD262C" w:rsidRDefault="00DD262C" w:rsidP="00DD262C">
      <w:pPr>
        <w:pStyle w:val="ac"/>
        <w:ind w:firstLine="539"/>
        <w:jc w:val="both"/>
        <w:rPr>
          <w:sz w:val="24"/>
          <w:szCs w:val="24"/>
          <w:lang w:val="uk-UA"/>
        </w:rPr>
      </w:pPr>
      <w:r w:rsidRPr="00DD262C">
        <w:rPr>
          <w:i/>
          <w:sz w:val="24"/>
          <w:szCs w:val="24"/>
          <w:lang w:val="uk-UA"/>
        </w:rPr>
        <w:t>Очікуване відшкодування страхових аквізиційних грошових потоків:</w:t>
      </w:r>
      <w:r w:rsidRPr="00DD262C">
        <w:rPr>
          <w:sz w:val="24"/>
          <w:szCs w:val="24"/>
          <w:lang w:val="uk-UA"/>
        </w:rPr>
        <w:t xml:space="preserve"> Організації повинні відносити частину своїх аквізиційних витрат на відповідні договори, які очікується подовжити, та визнавати такі витрати як активи до моменту визнання організацією подовження договору. Організації повинні оцінювати ймовірність відшкодування активу на кожну звітну дату і надавати інформацію про конкретний актив у примітках до фінансової звітності. </w:t>
      </w:r>
    </w:p>
    <w:p w:rsidR="00DD262C" w:rsidRPr="00DD262C" w:rsidRDefault="00DD262C" w:rsidP="00DD262C">
      <w:pPr>
        <w:pStyle w:val="ac"/>
        <w:ind w:firstLine="539"/>
        <w:jc w:val="both"/>
        <w:rPr>
          <w:sz w:val="24"/>
          <w:szCs w:val="24"/>
          <w:lang w:val="uk-UA"/>
        </w:rPr>
      </w:pPr>
      <w:r w:rsidRPr="00DD262C">
        <w:rPr>
          <w:i/>
          <w:iCs/>
          <w:sz w:val="24"/>
          <w:szCs w:val="24"/>
          <w:lang w:val="uk-UA"/>
        </w:rPr>
        <w:t>Маржа за передбачені договором послуги, що відноситься на інвестиційні послуги:</w:t>
      </w:r>
      <w:r w:rsidRPr="00DD262C">
        <w:rPr>
          <w:sz w:val="24"/>
          <w:szCs w:val="24"/>
          <w:lang w:val="uk-UA"/>
        </w:rPr>
        <w:t xml:space="preserve"> Слід ідентифікувати одиниці покриття з урахуванням обсягу вигод і очікуваного періоду страхового покриття та інвестиційних послуг за договорами зі змінними платежами та іншими договорами з послугами по отриманню інвестиційного доходу відповідно до загальної моделі. Витрати, пов'язані з інвестиційною діяльністю, слід включати як грошові потоки у межі договору страхування у тих випадках, в яких організація здійснює таку діяльність для збільшення вигод від страхового покриття для власника страхового полісу. </w:t>
      </w:r>
    </w:p>
    <w:p w:rsidR="00DD262C" w:rsidRPr="00DD262C" w:rsidRDefault="00DD262C" w:rsidP="00DD262C">
      <w:pPr>
        <w:pStyle w:val="ac"/>
        <w:ind w:firstLine="539"/>
        <w:jc w:val="both"/>
        <w:rPr>
          <w:sz w:val="24"/>
          <w:szCs w:val="24"/>
          <w:lang w:val="uk-UA"/>
        </w:rPr>
      </w:pPr>
      <w:r w:rsidRPr="00DD262C">
        <w:rPr>
          <w:i/>
          <w:sz w:val="24"/>
          <w:szCs w:val="24"/>
          <w:lang w:val="uk-UA"/>
        </w:rPr>
        <w:t>Утримувані договори перестрахування – відшкодування збитків:</w:t>
      </w:r>
      <w:r w:rsidRPr="00DD262C">
        <w:rPr>
          <w:sz w:val="24"/>
          <w:szCs w:val="24"/>
          <w:lang w:val="uk-UA"/>
        </w:rPr>
        <w:t xml:space="preserve"> Коли організація визнає збиток при первісному визнанні обтяжливої групи базових договорів страхування чи при додаванні обтяжливих базових договорів страхування до групи, організація повинна скоригувати маржу за передбачені договором послуги відповідної групи утримуваних договорів перестрахування і визнати прибуток за такими договорами перестрахування. Сума збитку, відшкодованого за утримуваним договором перестрахування, визначається множенням збитку, визнаного за базовими договорами страхування, на процент вимог за базовими договорами страхування, який організація очікує відшкодувати за утримуваним договором перестрахування. Ця вимога застосовуватиметься тільки у тому випадку, коли утримуваний договір перестрахування визнається до визнання збитку від базового договору страхування або одночасно з таким визнанням. </w:t>
      </w:r>
    </w:p>
    <w:p w:rsidR="00DD262C" w:rsidRPr="00DD262C" w:rsidRDefault="00DD262C" w:rsidP="00DD262C">
      <w:pPr>
        <w:pStyle w:val="ac"/>
        <w:ind w:firstLine="539"/>
        <w:jc w:val="both"/>
        <w:rPr>
          <w:color w:val="000000" w:themeColor="text1"/>
          <w:sz w:val="24"/>
          <w:szCs w:val="24"/>
          <w:lang w:val="uk-UA"/>
        </w:rPr>
      </w:pPr>
      <w:r w:rsidRPr="00DD262C">
        <w:rPr>
          <w:i/>
          <w:color w:val="000000" w:themeColor="text1"/>
          <w:sz w:val="24"/>
          <w:szCs w:val="24"/>
          <w:lang w:val="uk-UA"/>
        </w:rPr>
        <w:t>Інші зміни:</w:t>
      </w:r>
      <w:r w:rsidRPr="00DD262C">
        <w:rPr>
          <w:color w:val="000000" w:themeColor="text1"/>
          <w:sz w:val="24"/>
          <w:szCs w:val="24"/>
          <w:lang w:val="uk-UA"/>
        </w:rPr>
        <w:t xml:space="preserve"> Інші зміни включають виключення зі сфери застосування для певних договорів кредитних карт (або аналогічних договорів) і для певних кредитних договорів; представлення активів і зобов'язань за договорами страхування у звіті про фінансовий стан у портфелях, а не в групах; застосовність варіанту зниження ризику при зниженні фінансових ризиків за допомогою утримуваних договорів перестрахування та непохідних фінансових інструментів за справедливою вартістю через прибуток чи збиток; вибір облікової політики для зміни оцінок, зроблених у попередній проміжній фінансовій звітності, при застосуванні МСФЗ 17; включення платежів і надходжень з податку на прибуток, що відносяться на конкретного власника страхового полісу, за умовами договору страхування до грошових потоків; і вибіркове звільнення від вимог протягом перехідного періоду та інші незначні зміни. </w:t>
      </w:r>
    </w:p>
    <w:p w:rsidR="00DD262C" w:rsidRPr="00DD262C" w:rsidRDefault="00DD262C" w:rsidP="00DD262C">
      <w:pPr>
        <w:pStyle w:val="ac"/>
        <w:ind w:firstLine="539"/>
        <w:jc w:val="both"/>
        <w:rPr>
          <w:sz w:val="24"/>
          <w:szCs w:val="24"/>
          <w:lang w:val="uk-UA"/>
        </w:rPr>
      </w:pPr>
      <w:r w:rsidRPr="00DD262C">
        <w:rPr>
          <w:b/>
          <w:bCs/>
          <w:i/>
          <w:iCs/>
          <w:sz w:val="24"/>
          <w:szCs w:val="24"/>
          <w:lang w:val="uk-UA"/>
        </w:rPr>
        <w:t>Зміни МСФЗ 17</w:t>
      </w:r>
      <w:r w:rsidRPr="00DD262C">
        <w:rPr>
          <w:bCs/>
          <w:i/>
          <w:iCs/>
          <w:sz w:val="24"/>
          <w:szCs w:val="24"/>
          <w:lang w:val="uk-UA"/>
        </w:rPr>
        <w:t xml:space="preserve"> «Перехідна опція для страхових компаній, що застосовують МСФЗ 17» (опубліковані 9 грудня 2021 року і вступають у силу для річних періодів, які починаються з 1 січня 2023 року або після цієї дати).</w:t>
      </w:r>
      <w:r w:rsidRPr="00DD262C">
        <w:rPr>
          <w:sz w:val="24"/>
          <w:szCs w:val="24"/>
          <w:lang w:val="uk-UA"/>
        </w:rPr>
        <w:t xml:space="preserve"> Зміна до перехідних положень МСФЗ 17 надає страховим компаніям опцію, спрямовану на підвищення корисності інформації, яка надається інвесторам при початковому застосуванні МСФЗ 17. Зміна стосується лише переходу страхових компаній на облік згідно з МСФЗ 17 та не впливає на будь-які інші вимоги МСФЗ 17. Перехідні положення МСФЗ 17 та МСФЗ 9 застосовуються на різні дати та призведуть до таких разових відмінностей у класифікації у порівняльній інформації, представленій станом на дату початкового застосування МСФЗ 17: облікова невідповідність між зобов'язаннями за договорами страхування, що оцінюються за поточною вартістю, та відповідними фінансовими активами, що оцінюються за амортизованою вартістю, а також, якщо організація прийняла рішення скоригувати порівняльну інформацію у відповідності до вимог МСФЗ 9, відмінності між класифікацією фінансових активів, визнання яких припинене за порівняльний період (до яких МСФЗ 9 не застосовується), та інших фінансових активів (до яких МСФЗ 9 застосовується). Зміна стандарту допоможе страховим компаніям уникнути цих тимчасових облікових невідповідностей, а отже, підвищить корисність порівняльної інформації для інвесторів. Для цього страховим компаніям надається опція щодо представлення порівняльної інформації про фінансові активи. При початковому застосуванні МСФЗ 17 організаціям для цілей представлення порівняльної інформації дозволяється застосовувати підхід накладання при класифікації фінансових активів, за якими організація не коригує порівняльну інформацію згідно з МСФЗ 9. Перехідна опція може застосовуватися окремо за кожним інструментом, дозволяє організації представляти порівняльну інформацію так, якби до цього фінансового активу застосовувалися вимоги МСФЗ 9 щодо класифікації та оцінки, але не вимагає від організації застосовувати вимоги МСФЗ 9 щодо знецінення, а також вимагає від організацій, які застосовують при класифікації фінансового активу підхід накладання, використовувати обґрунтовану та підтверджувану інформацію, наявну на дату переходу на облік згідно зі стандартом для визначення того, як організація очікує класифікувати цей фінансовий актив із застосуванням МСФЗ 9.</w:t>
      </w:r>
    </w:p>
    <w:p w:rsidR="00DD262C" w:rsidRPr="00DD262C" w:rsidRDefault="00DD262C" w:rsidP="00DD262C">
      <w:pPr>
        <w:pStyle w:val="ac"/>
        <w:ind w:firstLine="539"/>
        <w:jc w:val="both"/>
        <w:rPr>
          <w:color w:val="0000FF"/>
          <w:sz w:val="24"/>
          <w:szCs w:val="24"/>
          <w:lang w:val="uk-UA"/>
        </w:rPr>
      </w:pPr>
      <w:r w:rsidRPr="00DD262C">
        <w:rPr>
          <w:sz w:val="24"/>
          <w:szCs w:val="24"/>
          <w:lang w:val="uk-UA"/>
        </w:rPr>
        <w:t xml:space="preserve"> Наразі Компанія  оцінює МСФЗ 17 та пов'язаних з ним змін на її фінансову звітність.</w:t>
      </w:r>
    </w:p>
    <w:p w:rsidR="00DD262C" w:rsidRPr="00DD262C" w:rsidRDefault="00DD262C" w:rsidP="00DD262C">
      <w:pPr>
        <w:pStyle w:val="ac"/>
        <w:ind w:firstLine="539"/>
        <w:jc w:val="both"/>
        <w:rPr>
          <w:sz w:val="24"/>
          <w:szCs w:val="24"/>
          <w:lang w:val="uk-UA"/>
        </w:rPr>
      </w:pPr>
      <w:r w:rsidRPr="00DD262C">
        <w:rPr>
          <w:sz w:val="24"/>
          <w:szCs w:val="24"/>
          <w:lang w:val="uk-UA"/>
        </w:rPr>
        <w:t>Якщо інше не зазначено вище, не очікується суттєвого впливу цих нових стандартів та інтерпретацій на фінансову звітністьКомпанії.</w:t>
      </w:r>
    </w:p>
    <w:p w:rsidR="00DD262C" w:rsidRPr="00DD262C" w:rsidRDefault="00DD262C" w:rsidP="00DD262C">
      <w:pPr>
        <w:pStyle w:val="ac"/>
        <w:ind w:firstLine="539"/>
        <w:jc w:val="both"/>
        <w:rPr>
          <w:iCs/>
          <w:sz w:val="24"/>
          <w:szCs w:val="24"/>
          <w:lang w:val="uk-UA"/>
        </w:rPr>
      </w:pPr>
    </w:p>
    <w:p w:rsidR="00DD262C" w:rsidRPr="00DD262C" w:rsidRDefault="00DD262C" w:rsidP="00DD262C">
      <w:pPr>
        <w:pStyle w:val="a3"/>
        <w:ind w:firstLine="540"/>
        <w:rPr>
          <w:kern w:val="28"/>
        </w:rPr>
      </w:pPr>
      <w:r w:rsidRPr="00DD262C">
        <w:rPr>
          <w:b/>
          <w:i/>
          <w:kern w:val="28"/>
        </w:rPr>
        <w:t xml:space="preserve">2.3. Валюта подання звітності та функціональна валюта, ступінь округлення. </w:t>
      </w:r>
      <w:r w:rsidRPr="00DD262C">
        <w:rPr>
          <w:kern w:val="28"/>
        </w:rPr>
        <w:t>Ця фінансова звітність складена в національній валюті України – гривнях, якщо інше не зазначено в окремих звітах та примітках. Одиниця виміру – тисяча гривень.</w:t>
      </w:r>
    </w:p>
    <w:p w:rsidR="00DD262C" w:rsidRPr="00DD262C" w:rsidRDefault="00DD262C" w:rsidP="00DD262C">
      <w:pPr>
        <w:pStyle w:val="a3"/>
        <w:ind w:firstLine="540"/>
        <w:rPr>
          <w:b/>
          <w:i/>
          <w:kern w:val="28"/>
        </w:rPr>
      </w:pPr>
      <w:r w:rsidRPr="00DD262C">
        <w:rPr>
          <w:b/>
          <w:i/>
          <w:kern w:val="28"/>
        </w:rPr>
        <w:t xml:space="preserve"> </w:t>
      </w:r>
    </w:p>
    <w:p w:rsidR="00DD262C" w:rsidRPr="00DD262C" w:rsidRDefault="00DD262C" w:rsidP="00DD262C">
      <w:pPr>
        <w:pStyle w:val="a3"/>
        <w:ind w:firstLine="540"/>
        <w:rPr>
          <w:kern w:val="28"/>
        </w:rPr>
      </w:pPr>
      <w:r w:rsidRPr="00DD262C">
        <w:rPr>
          <w:b/>
          <w:i/>
          <w:kern w:val="28"/>
        </w:rPr>
        <w:t xml:space="preserve">2.4. Припущення про безперервність діяльності. </w:t>
      </w:r>
    </w:p>
    <w:p w:rsidR="00DD262C" w:rsidRPr="00DD262C" w:rsidRDefault="00DD262C" w:rsidP="00DD262C">
      <w:pPr>
        <w:pStyle w:val="ac"/>
        <w:ind w:firstLine="709"/>
        <w:jc w:val="both"/>
        <w:rPr>
          <w:lang w:val="uk-UA"/>
        </w:rPr>
      </w:pPr>
      <w:r w:rsidRPr="00DD262C">
        <w:rPr>
          <w:lang w:val="uk-UA"/>
        </w:rPr>
        <w:t xml:space="preserve">     Фінансова звітність АТ «CК» «САТІС» складена,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Компанія  має прибуткову діяльність від операційної діяльності в сумі  1085,0 тис. грн., за 2022</w:t>
      </w:r>
      <w:r w:rsidRPr="00DD262C">
        <w:rPr>
          <w:b/>
          <w:i/>
          <w:lang w:val="uk-UA"/>
        </w:rPr>
        <w:t xml:space="preserve"> </w:t>
      </w:r>
      <w:r w:rsidRPr="00DD262C">
        <w:rPr>
          <w:lang w:val="uk-UA"/>
        </w:rPr>
        <w:t xml:space="preserve">рік чистий фінансовий результат прибутковий  у сумі  1 049,0 тис. грн. </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 xml:space="preserve"> З кінця 2019 року розпочалося поширення нового коронавірусу, який отримав назву COVID-19, здатного викликати важкі наслідки, що призводять до загибелі людини. На кінець 2019р. Всесвітня організація охорони здоров'я повідомляла про обмежене число випадків зараження COVID-19, але 31 січня 2020 року оголосила надзвичайну ситуацію в області охорони здоров'я, а 13 березня 2020 року - про початок пандемії в зв'язку зі стрімким поширенням COVID-19 в Європі та інших регіонах. Заходи, що вживаються по всьому світу з метою боротьби з поширенням COVID-19, призводять до необхідності обмеження ділової активності, що впливає на Компанія, а також до необхідності профілактичних заходів, спрямованих на запобігання поширенню інфекції. Для зменшення ризику щодо впливу подій на фінансову діяльність Компанії, пов’язаних зі спалахом коронавірусу COVID-19, Товариство вживає  належні заходи на підтримку стабільності  та безперервності його діяльності. Зазначені вище події  не є такими, що мають суттєвий вплив на діяльність і розвиток Компанії, не є такими, що спричиняють будь-які невизначеності щодо безперервної діяльності Компанії, і не потребують коригування або розкриття у фінансовій звітності та примітках до неї.</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24 лютого 2022 року, Російська Федерація розпочала неспровоковану повномасштабну воєнну агресію в Україні. Негайно після цього урядом України було введено воєнний стан та відповідні тимчасові обмеження, які впливають на економічні умови. Додаткову інформацію про ці події після закінчення звітного періоду наведено також у Примітці 6.22.</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Оскільки російське воєнне вторгнення в Україну відбувається з численних напрямків, деякі регіони України залишаються ареною інтенсивних бойових дій або тимчасово окуповані. Товариство провадить діяльність та надає послуги на всій території Україні за винятком тимчасово окупованих територій. Отже, ці події мають суттєвий негативний вплив на українську економіку і, відповідно, на бізнес, фінансовий стан та результати діяльності Компанії.</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Станом на дату випуску цієї фінансової звітності не було пошкоджень критично важливих активів, які перешкоджали б Товариству продовжувати діяльність. Компанія не має суттєвих активів у зоні активних воєнних дій або на тимчасово окупованих територіях.</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У разі найгіршого сценарію розвитку подій, за якого інтенсивні воєнні дії відбуватимуться по всій території України, можна припустити, що це матиме вплив на діяльність Товариства, тривалість якого неможливо спрогнозувати. Ці обставини являють собою фактор невизначеності поза контролем Товариства.</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Керівництво проаналізувало здатність Товариства продовжувати подальшу безперервну діяльність станом на дату випуску цієї фінансової звітності та дійшло висновку, що існує лише один суттєвий фактор невизначеності щодо подальшої значної ескалації воєнних дій, що може призвести до дестабілізації діяльності Товариства, який може викликати значні сумніви у спроможності Товариства продовжувати безперервну діяльність. Отже, Товариство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Товариства достатніх ресурсів для управління діяльністю протягом наступних дванадцяти місяців з дати цієї фінансової звітності. Керівництво продовжить відстежувати потенційний вплив та вживатиме усіх можливих заходів для мінімізації будь-яких наслідків.</w:t>
      </w:r>
    </w:p>
    <w:p w:rsidR="00DD262C" w:rsidRPr="00DD262C" w:rsidRDefault="00DD262C" w:rsidP="00DD262C">
      <w:pPr>
        <w:pStyle w:val="ac"/>
        <w:ind w:firstLine="709"/>
        <w:jc w:val="both"/>
        <w:rPr>
          <w:color w:val="201F1E"/>
          <w:bdr w:val="none" w:sz="0" w:space="0" w:color="auto" w:frame="1"/>
          <w:lang w:val="uk-UA"/>
        </w:rPr>
      </w:pPr>
      <w:r w:rsidRPr="00DD262C">
        <w:rPr>
          <w:color w:val="201F1E"/>
          <w:bdr w:val="none" w:sz="0" w:space="0" w:color="auto" w:frame="1"/>
          <w:lang w:val="uk-UA"/>
        </w:rPr>
        <w:t>З урахуванням цих та інших заходів керівництво Товариства дійшло висновку, що застосування припущення про безперервність діяльності для підготовки фінансової звітності є доцільним</w:t>
      </w:r>
    </w:p>
    <w:p w:rsidR="00DD262C" w:rsidRPr="00DD262C" w:rsidRDefault="00DD262C" w:rsidP="00DD262C">
      <w:pPr>
        <w:pStyle w:val="ac"/>
        <w:rPr>
          <w:color w:val="201F1E"/>
          <w:bdr w:val="none" w:sz="0" w:space="0" w:color="auto" w:frame="1"/>
          <w:lang w:val="uk-UA"/>
        </w:rPr>
      </w:pPr>
    </w:p>
    <w:p w:rsidR="00DD262C" w:rsidRPr="00DD262C" w:rsidRDefault="00DD262C" w:rsidP="00DD262C">
      <w:pPr>
        <w:pStyle w:val="a3"/>
        <w:ind w:firstLine="540"/>
        <w:rPr>
          <w:kern w:val="28"/>
        </w:rPr>
      </w:pPr>
      <w:r w:rsidRPr="00DD262C">
        <w:rPr>
          <w:b/>
          <w:i/>
          <w:kern w:val="28"/>
        </w:rPr>
        <w:t xml:space="preserve">2.5. Рішення про затвердження фінансової звітності. </w:t>
      </w:r>
      <w:r w:rsidRPr="00DD262C">
        <w:rPr>
          <w:kern w:val="28"/>
        </w:rPr>
        <w:t>Фінансова звітність Товариства затверджена 20 лютого 2023 року до випуску (з метою оприлюднення)  Ні учасники Товариства, ні інші особи не мають права вносити зміни до цієї фінансової звітності після її затвердження до випуску.</w:t>
      </w:r>
    </w:p>
    <w:p w:rsidR="00DD262C" w:rsidRPr="00DD262C" w:rsidRDefault="00DD262C" w:rsidP="00DD262C">
      <w:pPr>
        <w:pStyle w:val="a3"/>
        <w:ind w:firstLine="540"/>
        <w:rPr>
          <w:kern w:val="28"/>
        </w:rPr>
      </w:pPr>
    </w:p>
    <w:p w:rsidR="00DD262C" w:rsidRPr="00DD262C" w:rsidRDefault="00DD262C" w:rsidP="00DD262C">
      <w:pPr>
        <w:pStyle w:val="a3"/>
        <w:ind w:right="0" w:firstLine="539"/>
        <w:rPr>
          <w:kern w:val="28"/>
        </w:rPr>
      </w:pPr>
      <w:r w:rsidRPr="00DD262C">
        <w:rPr>
          <w:b/>
          <w:i/>
          <w:kern w:val="28"/>
        </w:rPr>
        <w:t xml:space="preserve">2.6. Звітний період фінансової звітності. </w:t>
      </w:r>
      <w:r w:rsidRPr="00DD262C">
        <w:rPr>
          <w:kern w:val="28"/>
        </w:rPr>
        <w:t>Звітним періодом, за який формується фінансова звітність, вважається календарний рік, тобто період з 01 січня по 31 грудня 2022 року.</w:t>
      </w:r>
    </w:p>
    <w:p w:rsidR="00DD262C" w:rsidRPr="00DD262C" w:rsidRDefault="00DD262C" w:rsidP="00DD262C">
      <w:pPr>
        <w:pStyle w:val="a3"/>
        <w:ind w:right="0" w:firstLine="539"/>
        <w:rPr>
          <w:kern w:val="28"/>
        </w:rPr>
      </w:pPr>
    </w:p>
    <w:p w:rsidR="00DD262C" w:rsidRPr="00DD262C" w:rsidRDefault="00DD262C" w:rsidP="00DD262C">
      <w:pPr>
        <w:pStyle w:val="a3"/>
        <w:ind w:right="0" w:firstLine="539"/>
        <w:jc w:val="center"/>
        <w:rPr>
          <w:b/>
          <w:i/>
          <w:kern w:val="28"/>
          <w:sz w:val="26"/>
          <w:szCs w:val="26"/>
        </w:rPr>
      </w:pPr>
      <w:r w:rsidRPr="00DD262C">
        <w:rPr>
          <w:b/>
          <w:i/>
          <w:kern w:val="28"/>
          <w:sz w:val="26"/>
          <w:szCs w:val="26"/>
        </w:rPr>
        <w:t>3. Принципи облікової політики.</w:t>
      </w:r>
    </w:p>
    <w:p w:rsidR="00DD262C" w:rsidRPr="00DD262C" w:rsidRDefault="00DD262C" w:rsidP="00DD262C">
      <w:pPr>
        <w:pStyle w:val="a3"/>
        <w:ind w:right="0" w:firstLine="539"/>
        <w:jc w:val="center"/>
        <w:rPr>
          <w:b/>
          <w:i/>
          <w:kern w:val="28"/>
          <w:sz w:val="26"/>
          <w:szCs w:val="26"/>
        </w:rPr>
      </w:pPr>
    </w:p>
    <w:p w:rsidR="00DD262C" w:rsidRPr="00DD262C" w:rsidRDefault="00DD262C" w:rsidP="00DD262C">
      <w:pPr>
        <w:pStyle w:val="a3"/>
        <w:ind w:right="0" w:firstLine="539"/>
        <w:rPr>
          <w:kern w:val="28"/>
        </w:rPr>
      </w:pPr>
      <w:r w:rsidRPr="00DD262C">
        <w:rPr>
          <w:b/>
          <w:i/>
          <w:kern w:val="28"/>
        </w:rPr>
        <w:t xml:space="preserve">3.1. Основи оцінки складання фінансової звітності. </w:t>
      </w:r>
      <w:r w:rsidRPr="00DD262C">
        <w:rPr>
          <w:kern w:val="28"/>
        </w:rPr>
        <w:t xml:space="preserve">Фінансові звіти складені на основі принципу безперервної діяльності Товариства, який передбачає реалізацію активів та погашення зобов’язань при звичайному веденні господарської діяльності. Складення фінансових звітів вимагає від управлінського персоналу здійснення попередніх оцінок та припущень. Через невизначеність, властиву здійсненню таких попередніх оцінок, фактичні результати можуть базуватися на сумах, що відрізняються від таких попередніх оцінок.  </w:t>
      </w:r>
    </w:p>
    <w:p w:rsidR="00DD262C" w:rsidRPr="00DD262C" w:rsidRDefault="00DD262C" w:rsidP="00DD262C">
      <w:pPr>
        <w:pStyle w:val="a3"/>
        <w:ind w:firstLine="540"/>
        <w:rPr>
          <w:kern w:val="28"/>
        </w:rPr>
      </w:pPr>
      <w:r w:rsidRPr="00DD262C">
        <w:rPr>
          <w:kern w:val="28"/>
        </w:rPr>
        <w:t>Суттєві критерії визнання та оцінки  видів активів та зобов’язань, доходів та витрат які застосовувались при підготовці цих фінансових звітів наведені в наступних примітках.</w:t>
      </w:r>
    </w:p>
    <w:p w:rsidR="00DD262C" w:rsidRPr="00DD262C" w:rsidRDefault="00DD262C" w:rsidP="00DD262C">
      <w:pPr>
        <w:pStyle w:val="a3"/>
        <w:ind w:firstLine="540"/>
        <w:rPr>
          <w:kern w:val="28"/>
        </w:rPr>
      </w:pPr>
    </w:p>
    <w:p w:rsidR="00DD262C" w:rsidRPr="00DD262C" w:rsidRDefault="00DD262C" w:rsidP="00DD262C">
      <w:pPr>
        <w:pStyle w:val="a3"/>
        <w:ind w:right="0" w:firstLine="539"/>
        <w:rPr>
          <w:kern w:val="28"/>
        </w:rPr>
      </w:pPr>
      <w:r w:rsidRPr="00DD262C">
        <w:rPr>
          <w:b/>
          <w:i/>
          <w:kern w:val="28"/>
        </w:rPr>
        <w:t xml:space="preserve">3.2. Грошові кошти та їх еквіваленти. </w:t>
      </w:r>
      <w:r w:rsidRPr="00DD262C">
        <w:rPr>
          <w:kern w:val="28"/>
        </w:rPr>
        <w:t xml:space="preserve">Грошові кошти та їх еквіваленти являють собою активи, які вільно конвертуються у готівку і які підлягають незначному ризику змін у вартості. Грошові кошти та їх еквіваленти включають готівку в касі, та залишки на рахунках в банківських установах. </w:t>
      </w:r>
    </w:p>
    <w:p w:rsidR="00DD262C" w:rsidRPr="00DD262C" w:rsidRDefault="00DD262C" w:rsidP="00DD262C">
      <w:pPr>
        <w:pStyle w:val="a3"/>
        <w:ind w:right="0" w:firstLine="539"/>
        <w:rPr>
          <w:kern w:val="28"/>
        </w:rPr>
      </w:pPr>
      <w:r w:rsidRPr="00DD262C">
        <w:rPr>
          <w:kern w:val="28"/>
        </w:rPr>
        <w:t>Грошові кошти та їх еквіваленти визнаються за умови відповідності критеріям визнання активами.</w:t>
      </w:r>
    </w:p>
    <w:p w:rsidR="00DD262C" w:rsidRPr="00DD262C" w:rsidRDefault="00DD262C" w:rsidP="00DD262C">
      <w:pPr>
        <w:pStyle w:val="a3"/>
        <w:ind w:right="0" w:firstLine="539"/>
        <w:rPr>
          <w:kern w:val="28"/>
        </w:rPr>
      </w:pPr>
      <w:r w:rsidRPr="00DD262C">
        <w:rPr>
          <w:kern w:val="28"/>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DD262C" w:rsidRPr="00DD262C" w:rsidRDefault="00DD262C" w:rsidP="00DD262C">
      <w:pPr>
        <w:pStyle w:val="a3"/>
        <w:ind w:right="0" w:firstLine="539"/>
        <w:rPr>
          <w:kern w:val="28"/>
        </w:rPr>
      </w:pPr>
      <w:r w:rsidRPr="00DD262C">
        <w:rPr>
          <w:kern w:val="28"/>
        </w:rPr>
        <w:t>У разі обмеження права використання коштів на поточних рахунках в у банках (наприклад, у випадку призначення НБУ в банківській установі тимчасової адміністрації) ці активи можуть бути класифіковані у складі непоточних активів. У випадку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їх вартість відображається у складі збитків звітного періоду.</w:t>
      </w:r>
    </w:p>
    <w:p w:rsidR="00DD262C" w:rsidRPr="00DD262C" w:rsidRDefault="00DD262C" w:rsidP="00DD262C">
      <w:pPr>
        <w:pStyle w:val="a3"/>
        <w:ind w:right="0" w:firstLine="539"/>
        <w:rPr>
          <w:kern w:val="28"/>
        </w:rPr>
      </w:pPr>
    </w:p>
    <w:p w:rsidR="00DD262C" w:rsidRPr="00DD262C" w:rsidRDefault="00DD262C" w:rsidP="00DD262C">
      <w:pPr>
        <w:pStyle w:val="a3"/>
        <w:ind w:firstLine="540"/>
        <w:jc w:val="left"/>
        <w:rPr>
          <w:b/>
          <w:i/>
          <w:kern w:val="28"/>
        </w:rPr>
      </w:pPr>
      <w:r w:rsidRPr="00DD262C">
        <w:rPr>
          <w:b/>
          <w:i/>
          <w:kern w:val="28"/>
        </w:rPr>
        <w:t>3.3. Фінансові активи</w:t>
      </w:r>
    </w:p>
    <w:p w:rsidR="00DD262C" w:rsidRPr="00DD262C" w:rsidRDefault="00DD262C" w:rsidP="00DD262C">
      <w:pPr>
        <w:pStyle w:val="a3"/>
        <w:ind w:firstLine="540"/>
        <w:jc w:val="left"/>
        <w:rPr>
          <w:kern w:val="28"/>
        </w:rPr>
      </w:pPr>
      <w:r w:rsidRPr="00DD262C">
        <w:rPr>
          <w:b/>
          <w:i/>
          <w:kern w:val="28"/>
        </w:rPr>
        <w:t xml:space="preserve">  </w:t>
      </w:r>
      <w:r w:rsidRPr="00DD262C">
        <w:t xml:space="preserve">Облік фінансових інструментів Товариством здійснюється відповідно до МСФЗ 9 «Фінансові інструменти», МСФЗ 7 «Фінансові інструменти: розкриття інформації», МСФЗ 32 «Фінансові інструменти: подання», МСБО 28 «Інвестиції в асоційовані підприємства». Фінансові активи та фінансові зобов’язання визнаються у Звіті про фінансовий стан Товариства у той момент, коли Товариство стає стороною контрактних зобов’язань щодо відповідного інструменту. Товариство має такі категорії фінансових інструментів: </w:t>
      </w:r>
      <w:r w:rsidRPr="00DD262C">
        <w:rPr>
          <w:kern w:val="28"/>
        </w:rPr>
        <w:t>Фінансові активи – основні терміни, пов’язані з оцінкою. Залежно від мети з якою вони були  придбані, фінансові активи класифікуються як такі, що:</w:t>
      </w:r>
    </w:p>
    <w:p w:rsidR="00DD262C" w:rsidRPr="00DD262C" w:rsidRDefault="00DD262C" w:rsidP="00DD262C">
      <w:pPr>
        <w:pStyle w:val="a3"/>
        <w:numPr>
          <w:ilvl w:val="0"/>
          <w:numId w:val="4"/>
        </w:numPr>
        <w:rPr>
          <w:kern w:val="28"/>
        </w:rPr>
      </w:pPr>
      <w:r w:rsidRPr="00DD262C">
        <w:rPr>
          <w:kern w:val="28"/>
        </w:rPr>
        <w:t xml:space="preserve">оцінюються за справедливою вартістю через прибуток та збиток; </w:t>
      </w:r>
    </w:p>
    <w:p w:rsidR="00DD262C" w:rsidRPr="00DD262C" w:rsidRDefault="00DD262C" w:rsidP="00DD262C">
      <w:pPr>
        <w:pStyle w:val="a3"/>
        <w:numPr>
          <w:ilvl w:val="0"/>
          <w:numId w:val="4"/>
        </w:numPr>
        <w:rPr>
          <w:kern w:val="28"/>
        </w:rPr>
      </w:pPr>
      <w:r w:rsidRPr="00DD262C">
        <w:rPr>
          <w:kern w:val="28"/>
        </w:rPr>
        <w:t>що утримуються до погашення, та обліковуються за амортизованою вартістю;</w:t>
      </w:r>
    </w:p>
    <w:p w:rsidR="00DD262C" w:rsidRPr="00DD262C" w:rsidRDefault="00DD262C" w:rsidP="00DD262C">
      <w:pPr>
        <w:pStyle w:val="a3"/>
        <w:numPr>
          <w:ilvl w:val="0"/>
          <w:numId w:val="4"/>
        </w:numPr>
        <w:rPr>
          <w:kern w:val="28"/>
        </w:rPr>
      </w:pPr>
      <w:r w:rsidRPr="00DD262C">
        <w:rPr>
          <w:kern w:val="28"/>
        </w:rPr>
        <w:t>займи та дебіторська заборгованість;</w:t>
      </w:r>
    </w:p>
    <w:p w:rsidR="00DD262C" w:rsidRPr="00DD262C" w:rsidRDefault="00DD262C" w:rsidP="00DD262C">
      <w:pPr>
        <w:pStyle w:val="a3"/>
        <w:numPr>
          <w:ilvl w:val="0"/>
          <w:numId w:val="4"/>
        </w:numPr>
        <w:ind w:left="540" w:firstLine="0"/>
        <w:rPr>
          <w:kern w:val="28"/>
        </w:rPr>
      </w:pPr>
      <w:r w:rsidRPr="00DD262C">
        <w:rPr>
          <w:kern w:val="28"/>
        </w:rPr>
        <w:t xml:space="preserve">   фінансові активи в наявності для продажу, які обліковуються  за справедливою вартістю через зміни в капіталі.</w:t>
      </w:r>
    </w:p>
    <w:p w:rsidR="00DD262C" w:rsidRPr="00DD262C" w:rsidRDefault="00DD262C" w:rsidP="00DD262C">
      <w:pPr>
        <w:pStyle w:val="a3"/>
        <w:ind w:firstLine="540"/>
        <w:rPr>
          <w:kern w:val="28"/>
        </w:rPr>
      </w:pPr>
      <w:r w:rsidRPr="00DD262C">
        <w:rPr>
          <w:kern w:val="28"/>
        </w:rPr>
        <w:t>До фінансових активів, що оцінюються за справедливою вартістю Товариство відносить цінні папери, які придбавалися для торгових операцій, яким притаманна швидка ліквідність, та   по яких є можливість визначення справедливої вартості на підставі біржових торгів.</w:t>
      </w:r>
    </w:p>
    <w:p w:rsidR="00DD262C" w:rsidRPr="00DD262C" w:rsidRDefault="00DD262C" w:rsidP="00DD262C">
      <w:pPr>
        <w:pStyle w:val="a3"/>
        <w:ind w:firstLine="540"/>
        <w:rPr>
          <w:kern w:val="28"/>
        </w:rPr>
      </w:pPr>
      <w:r w:rsidRPr="00DD262C">
        <w:rPr>
          <w:kern w:val="28"/>
        </w:rPr>
        <w:t>До фінансових активів, утримуваних до погашення, Товариство відносить облігації та векселі, що їх Товариство має реальний намір та здатність утримувати до погашення. Після первісного визнання Товариство оцінює їх за амортизованою собівартістю, застосовуючи метод ефективного відсотка, за вирахуванням збитків від знецінення, якщо вони є.</w:t>
      </w:r>
    </w:p>
    <w:p w:rsidR="00DD262C" w:rsidRPr="00DD262C" w:rsidRDefault="00DD262C" w:rsidP="00DD262C">
      <w:pPr>
        <w:pStyle w:val="a3"/>
        <w:ind w:firstLine="540"/>
        <w:rPr>
          <w:kern w:val="28"/>
        </w:rPr>
      </w:pPr>
      <w:r w:rsidRPr="00DD262C">
        <w:rPr>
          <w:kern w:val="28"/>
        </w:rPr>
        <w:t>До фінансових активів доступних для продажу, Товариство відносить інвестиції які не підпадають під вищезазначені категорії. Після первісного визнання Товариство оцінює їх за справедливою вартістю. Результати від зміни справедливої вартості доступного для продажу фінансового активу визнаються прямо у власному капіталі з відображенням у звіті про зміни у власному капіталі, за винятком збитків від зменшення корисності та збитків від коливань курсу іноземної валюти, доки визнання фінансового активу не буде припинено, коли кумулятивний прибуток або збиток, визнаний раніше у власному капіталі, слід визнавати у прибутку чи збитку.</w:t>
      </w:r>
    </w:p>
    <w:p w:rsidR="00DD262C" w:rsidRPr="00DD262C" w:rsidRDefault="00DD262C" w:rsidP="00DD262C">
      <w:pPr>
        <w:pStyle w:val="a3"/>
        <w:ind w:firstLine="540"/>
        <w:rPr>
          <w:kern w:val="28"/>
        </w:rPr>
      </w:pPr>
      <w:r w:rsidRPr="00DD262C">
        <w:rPr>
          <w:kern w:val="28"/>
        </w:rPr>
        <w:t>Якщо існує об'єктивне свідчення зменшення корисності фінансового активу, доступного для продажу, сума кумулятивного збитку виключається з власного капіталу і визнається у прибутку чи збитку. Неринкові акції, справедливу вартість яких неможливо визначити, обліковуються за собівартістю, за вирахуванням збитків від знецінення, якщо вони є.</w:t>
      </w:r>
    </w:p>
    <w:p w:rsidR="00DD262C" w:rsidRPr="00DD262C" w:rsidRDefault="00DD262C" w:rsidP="00DD262C">
      <w:pPr>
        <w:pStyle w:val="a3"/>
        <w:ind w:firstLine="540"/>
      </w:pPr>
      <w:r w:rsidRPr="00DD262C">
        <w:t xml:space="preserve">Облік фінансових інвестицій Компанія веде з врахуванням вимог МСФО 28 «Інвестиції  в асоційовані та спільні підприємства» методом участі в капіталі. Згідно з методом участі в капіталі, при первісному визнанні інвестиція в асоційоване або спільне підприємство визнається за собівартістю і згодом її балансова вартість збільшується або зменшується для визнання частки інвестора в прибутку або збитку об’єкта інвестування після дати придбання. Частка інвестора в прибутку або збитку об’єкта інвестування визнається в прибутку або збитку інвестора. Виплати, отримані від об’єкта інвестування, зменшують балансову вартість інвестиції. Коригування балансової вартості можуть бути необхідними й при зміні пропорційної частки інвестора в об’єкті інвестування, яка виникає від змін в інших сукупних прибутках об’єкта інвестування. Такі зміни включають і зміни, що виникають від переоцінки основних засобів та від різниці у валютних курсах. Частка інвестора в цих змінах визнається в іншому сукупному прибутку інвестора. </w:t>
      </w:r>
    </w:p>
    <w:p w:rsidR="00DD262C" w:rsidRPr="00DD262C" w:rsidRDefault="00DD262C" w:rsidP="00DD262C">
      <w:pPr>
        <w:pStyle w:val="a3"/>
        <w:ind w:firstLine="540"/>
      </w:pPr>
    </w:p>
    <w:p w:rsidR="00DD262C" w:rsidRPr="00DD262C" w:rsidRDefault="00DD262C" w:rsidP="00DD262C">
      <w:pPr>
        <w:widowControl w:val="0"/>
        <w:jc w:val="both"/>
        <w:rPr>
          <w:rFonts w:ascii="Times New Roman" w:hAnsi="Times New Roman" w:cs="Times New Roman"/>
          <w:b/>
          <w:i/>
          <w:lang w:val="uk-UA"/>
        </w:rPr>
      </w:pPr>
      <w:r w:rsidRPr="00DD262C">
        <w:rPr>
          <w:rFonts w:ascii="Times New Roman" w:hAnsi="Times New Roman" w:cs="Times New Roman"/>
          <w:b/>
          <w:i/>
          <w:lang w:val="uk-UA"/>
        </w:rPr>
        <w:t xml:space="preserve">Знецінення активів </w:t>
      </w:r>
    </w:p>
    <w:p w:rsidR="00DD262C" w:rsidRPr="00DD262C" w:rsidRDefault="00DD262C" w:rsidP="00DD262C">
      <w:pPr>
        <w:widowControl w:val="0"/>
        <w:ind w:firstLine="360"/>
        <w:jc w:val="both"/>
        <w:rPr>
          <w:rFonts w:ascii="Times New Roman" w:hAnsi="Times New Roman" w:cs="Times New Roman"/>
          <w:lang w:val="uk-UA"/>
        </w:rPr>
      </w:pPr>
      <w:r w:rsidRPr="00DD262C">
        <w:rPr>
          <w:rFonts w:ascii="Times New Roman" w:hAnsi="Times New Roman" w:cs="Times New Roman"/>
          <w:lang w:val="uk-UA"/>
        </w:rPr>
        <w:t xml:space="preserve">Згідно з вимогами </w:t>
      </w:r>
      <w:r w:rsidRPr="00DD262C">
        <w:rPr>
          <w:rFonts w:ascii="Times New Roman" w:hAnsi="Times New Roman" w:cs="Times New Roman"/>
          <w:b/>
          <w:lang w:val="uk-UA"/>
        </w:rPr>
        <w:t>МСБО 36 «Знецінення активів»</w:t>
      </w:r>
      <w:r w:rsidRPr="00DD262C">
        <w:rPr>
          <w:rFonts w:ascii="Times New Roman" w:hAnsi="Times New Roman" w:cs="Times New Roman"/>
          <w:lang w:val="uk-UA"/>
        </w:rPr>
        <w:t>, вартість активу повинна розраховуватися, як нижча з двох нижче певних величин: або чиста вартість реалізації, або прибутковість використання активу. Чиста вартість реалізації – це сума, яку можна отримати від продажу активу незв'язаним сторонам, яка здійснюється при нормальних обставинах за вирахуванням прямих витрат на   продаж. Прибуток від використання активу – це справжня вартість очікуваних грошових потоків від використання активу протягом терміну корисної експлуатації цього активу і від його ліквідації.</w:t>
      </w:r>
    </w:p>
    <w:p w:rsidR="00DD262C" w:rsidRPr="00DD262C" w:rsidRDefault="00DD262C" w:rsidP="00DD262C">
      <w:pPr>
        <w:pStyle w:val="20"/>
        <w:shd w:val="clear" w:color="auto" w:fill="auto"/>
        <w:ind w:firstLine="480"/>
        <w:jc w:val="both"/>
        <w:rPr>
          <w:rFonts w:ascii="Times New Roman" w:hAnsi="Times New Roman" w:cs="Times New Roman"/>
          <w:sz w:val="24"/>
          <w:lang w:val="uk-UA"/>
        </w:rPr>
      </w:pPr>
      <w:r w:rsidRPr="00DD262C">
        <w:rPr>
          <w:rFonts w:ascii="Times New Roman" w:hAnsi="Times New Roman" w:cs="Times New Roman"/>
          <w:sz w:val="24"/>
          <w:lang w:val="uk-UA"/>
        </w:rPr>
        <w:t>МСФЗ (IFRS) 9 вимагає, щоб компанії оцінювали і враховували очікувані кредитні збитки по всім відповідним фінансовим активам (в основному, це боргові цінні папери, дебіторська заборгованість, включаючи дебіторську заборгованість по оренді, активи за договорами відповідно до IFRS 15, позики), починаючи з моменту первинного придбання фінансового інструменту.</w:t>
      </w:r>
    </w:p>
    <w:p w:rsidR="00DD262C" w:rsidRPr="00DD262C" w:rsidRDefault="00DD262C" w:rsidP="00DD262C">
      <w:pPr>
        <w:widowControl w:val="0"/>
        <w:ind w:firstLine="360"/>
        <w:jc w:val="both"/>
        <w:rPr>
          <w:rFonts w:ascii="Times New Roman" w:hAnsi="Times New Roman" w:cs="Times New Roman"/>
          <w:lang w:val="uk-UA"/>
        </w:rPr>
      </w:pPr>
      <w:r w:rsidRPr="00DD262C">
        <w:rPr>
          <w:rFonts w:ascii="Times New Roman" w:hAnsi="Times New Roman" w:cs="Times New Roman"/>
          <w:lang w:val="uk-UA"/>
        </w:rPr>
        <w:t>Так, відповідно до моделі очікуваних кредитних збитків, в результаті застосування МСФЗ 9,  Товариство визнає очікувані кредитні збитки та їх зміну кінець року, відображаючи зміни кредитного ризику від дати первісного визнання.</w:t>
      </w:r>
    </w:p>
    <w:p w:rsidR="00DD262C" w:rsidRPr="00DD262C" w:rsidRDefault="00DD262C" w:rsidP="00DD262C">
      <w:pPr>
        <w:pStyle w:val="a3"/>
        <w:ind w:firstLine="540"/>
      </w:pPr>
      <w:r w:rsidRPr="00DD262C">
        <w:rPr>
          <w:b/>
          <w:i/>
        </w:rPr>
        <w:t>3.4. Основні засоби.</w:t>
      </w:r>
      <w:r w:rsidRPr="00DD262C">
        <w:t xml:space="preserve"> На дату балансу основні засоби (крім групи «будівлі і споруди») обліковуються за  первісною вартістю (собівартістю) з вирахуванням накопиченої амортизації та накопичених збитків від зменшення корисності. Будівлі та споруди  після первісного визнання обліковуються за переоціненою вартістю (справедливою вартістю).</w:t>
      </w:r>
    </w:p>
    <w:p w:rsidR="00DD262C" w:rsidRPr="00DD262C" w:rsidRDefault="00DD262C" w:rsidP="00DD262C">
      <w:pPr>
        <w:pStyle w:val="a3"/>
      </w:pPr>
      <w:r w:rsidRPr="00DD262C">
        <w:t xml:space="preserve">          Первісна вартість основних засобів збільшується на суму витрат, пов’язаних 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об’єкту.</w:t>
      </w:r>
    </w:p>
    <w:p w:rsidR="00DD262C" w:rsidRPr="00DD262C" w:rsidRDefault="00DD262C" w:rsidP="00DD262C">
      <w:pPr>
        <w:pStyle w:val="a3"/>
        <w:ind w:right="0"/>
        <w:rPr>
          <w:sz w:val="20"/>
        </w:rPr>
      </w:pPr>
      <w:r w:rsidRPr="00DD262C">
        <w:t xml:space="preserve">           Витрати, що здійснюються для підтримання об’єкта основних засобів у придатному для використання стані (капітальний та поточний ремонт), включаються до складу витрат звітного періоду і не впливають на його залишкову вартість. Компанією застосовується прямолінійний метод нарахування амортизації на щомісячній основі.</w:t>
      </w:r>
    </w:p>
    <w:p w:rsidR="00DD262C" w:rsidRPr="00DD262C" w:rsidRDefault="00DD262C" w:rsidP="00DD262C">
      <w:pPr>
        <w:pStyle w:val="a3"/>
        <w:ind w:right="0"/>
        <w:jc w:val="center"/>
      </w:pPr>
      <w:r w:rsidRPr="00DD262C">
        <w:t>Строки корисного використання основних видів основних засобів встановлені наступні:</w:t>
      </w:r>
    </w:p>
    <w:p w:rsidR="00DD262C" w:rsidRPr="00DD262C" w:rsidRDefault="00DD262C" w:rsidP="00DD262C">
      <w:pPr>
        <w:pStyle w:val="a3"/>
        <w:ind w:right="0"/>
      </w:pPr>
    </w:p>
    <w:p w:rsidR="00DD262C" w:rsidRPr="00DD262C" w:rsidRDefault="00DD262C" w:rsidP="00DD262C">
      <w:pPr>
        <w:pStyle w:val="a3"/>
        <w:ind w:right="0"/>
        <w:jc w:val="center"/>
        <w:rPr>
          <w:sz w:val="18"/>
          <w:szCs w:val="18"/>
        </w:rPr>
      </w:pPr>
      <w:r w:rsidRPr="00DD262C">
        <w:rPr>
          <w:sz w:val="18"/>
          <w:szCs w:val="18"/>
        </w:rPr>
        <w:t>Таб. 3.4</w:t>
      </w:r>
    </w:p>
    <w:tbl>
      <w:tblPr>
        <w:tblW w:w="43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99"/>
        <w:gridCol w:w="2406"/>
      </w:tblGrid>
      <w:tr w:rsidR="00DD262C" w:rsidRPr="00DD262C" w:rsidTr="00B80E44">
        <w:trPr>
          <w:trHeight w:val="227"/>
          <w:jc w:val="center"/>
        </w:trPr>
        <w:tc>
          <w:tcPr>
            <w:tcW w:w="3618" w:type="pct"/>
            <w:shd w:val="clear" w:color="000000"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Види об'єктів</w:t>
            </w:r>
          </w:p>
        </w:tc>
        <w:tc>
          <w:tcPr>
            <w:tcW w:w="1382" w:type="pct"/>
            <w:shd w:val="clear" w:color="000000"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Строк корисного використання (років)</w:t>
            </w:r>
          </w:p>
        </w:tc>
      </w:tr>
      <w:tr w:rsidR="00DD262C" w:rsidRPr="00DD262C" w:rsidTr="00B80E44">
        <w:trPr>
          <w:trHeight w:val="60"/>
          <w:jc w:val="center"/>
        </w:trPr>
        <w:tc>
          <w:tcPr>
            <w:tcW w:w="3618" w:type="pct"/>
            <w:vAlign w:val="bottom"/>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Будинки та споруди</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20-50</w:t>
            </w:r>
          </w:p>
        </w:tc>
      </w:tr>
      <w:tr w:rsidR="00DD262C" w:rsidRPr="00DD262C" w:rsidTr="00B80E44">
        <w:trPr>
          <w:trHeight w:val="80"/>
          <w:jc w:val="center"/>
        </w:trPr>
        <w:tc>
          <w:tcPr>
            <w:tcW w:w="3618" w:type="pct"/>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Обладнання  охорони та сигналізації</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12</w:t>
            </w:r>
          </w:p>
        </w:tc>
      </w:tr>
      <w:tr w:rsidR="00DD262C" w:rsidRPr="00DD262C" w:rsidTr="00B80E44">
        <w:trPr>
          <w:trHeight w:val="182"/>
          <w:jc w:val="center"/>
        </w:trPr>
        <w:tc>
          <w:tcPr>
            <w:tcW w:w="3618" w:type="pct"/>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Машини та обладнання</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5-7</w:t>
            </w:r>
          </w:p>
        </w:tc>
      </w:tr>
      <w:tr w:rsidR="00DD262C" w:rsidRPr="00DD262C" w:rsidTr="00B80E44">
        <w:trPr>
          <w:trHeight w:val="80"/>
          <w:jc w:val="center"/>
        </w:trPr>
        <w:tc>
          <w:tcPr>
            <w:tcW w:w="3618" w:type="pct"/>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Автотранспорт</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5-7</w:t>
            </w:r>
          </w:p>
        </w:tc>
      </w:tr>
      <w:tr w:rsidR="00DD262C" w:rsidRPr="00DD262C" w:rsidTr="00B80E44">
        <w:trPr>
          <w:trHeight w:val="60"/>
          <w:jc w:val="center"/>
        </w:trPr>
        <w:tc>
          <w:tcPr>
            <w:tcW w:w="3618" w:type="pct"/>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Інструменти, прилади, інвентар</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r>
      <w:tr w:rsidR="00DD262C" w:rsidRPr="00DD262C" w:rsidTr="00B80E44">
        <w:trPr>
          <w:trHeight w:val="80"/>
          <w:jc w:val="center"/>
        </w:trPr>
        <w:tc>
          <w:tcPr>
            <w:tcW w:w="3618" w:type="pct"/>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Інші</w:t>
            </w:r>
          </w:p>
        </w:tc>
        <w:tc>
          <w:tcPr>
            <w:tcW w:w="1382" w:type="pct"/>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12</w:t>
            </w:r>
          </w:p>
        </w:tc>
      </w:tr>
    </w:tbl>
    <w:p w:rsidR="00DD262C" w:rsidRPr="00DD262C" w:rsidRDefault="00DD262C" w:rsidP="00DD262C">
      <w:pPr>
        <w:pStyle w:val="a3"/>
        <w:ind w:right="140"/>
        <w:rPr>
          <w:sz w:val="20"/>
        </w:rPr>
      </w:pPr>
    </w:p>
    <w:p w:rsidR="00DD262C" w:rsidRPr="00DD262C" w:rsidRDefault="00DD262C" w:rsidP="00DD262C">
      <w:pPr>
        <w:pStyle w:val="ABC-paragrahinNotes"/>
        <w:spacing w:after="0"/>
        <w:ind w:firstLine="540"/>
        <w:rPr>
          <w:rFonts w:ascii="Times New Roman" w:hAnsi="Times New Roman"/>
          <w:bCs/>
          <w:iCs/>
          <w:color w:val="000000"/>
          <w:lang w:val="uk-UA" w:eastAsia="sk-SK"/>
        </w:rPr>
      </w:pPr>
      <w:r w:rsidRPr="00DD262C">
        <w:rPr>
          <w:rFonts w:ascii="Times New Roman" w:hAnsi="Times New Roman"/>
          <w:bCs/>
          <w:iCs/>
          <w:color w:val="000000"/>
          <w:lang w:val="uk-UA" w:eastAsia="sk-SK"/>
        </w:rPr>
        <w:t>Земля та незавершені капітальні вкладення не амортизуються.</w:t>
      </w:r>
    </w:p>
    <w:p w:rsidR="00DD262C" w:rsidRPr="00DD262C" w:rsidRDefault="00DD262C" w:rsidP="00DD262C">
      <w:pPr>
        <w:pStyle w:val="ABC-paragrahinNotes"/>
        <w:spacing w:after="0"/>
        <w:ind w:firstLine="540"/>
        <w:rPr>
          <w:rFonts w:ascii="Times New Roman" w:hAnsi="Times New Roman"/>
          <w:bCs/>
          <w:iCs/>
          <w:color w:val="000000"/>
          <w:lang w:val="uk-UA" w:eastAsia="sk-SK"/>
        </w:rPr>
      </w:pPr>
      <w:r w:rsidRPr="00DD262C">
        <w:rPr>
          <w:rFonts w:ascii="Times New Roman" w:hAnsi="Times New Roman"/>
          <w:bCs/>
          <w:iCs/>
          <w:color w:val="000000"/>
          <w:lang w:val="uk-UA" w:eastAsia="sk-SK"/>
        </w:rPr>
        <w:t>Капітальні вкладення в орендовані приміщення використовуються протягом строку оренди приміщень.</w:t>
      </w:r>
    </w:p>
    <w:p w:rsidR="00DD262C" w:rsidRPr="00DD262C" w:rsidRDefault="00DD262C" w:rsidP="00DD262C">
      <w:pPr>
        <w:pStyle w:val="ABC-paragrahinNotes"/>
        <w:spacing w:after="0"/>
        <w:ind w:firstLine="540"/>
        <w:rPr>
          <w:rFonts w:ascii="Times New Roman" w:hAnsi="Times New Roman"/>
          <w:bCs/>
          <w:iCs/>
          <w:color w:val="000000"/>
          <w:lang w:val="uk-UA" w:eastAsia="sk-SK"/>
        </w:rPr>
      </w:pPr>
      <w:r w:rsidRPr="00DD262C">
        <w:rPr>
          <w:rFonts w:ascii="Times New Roman" w:hAnsi="Times New Roman"/>
          <w:lang w:val="uk-UA"/>
        </w:rPr>
        <w:t>Амортизація нового активу починається тоді, коли він стає  доступним для використання, коли його місце розташування і стан дозволяють здійснювати його експлуатацію відповідно до намірів керівництва.</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b/>
          <w:i/>
          <w:lang w:val="uk-UA"/>
        </w:rPr>
        <w:t xml:space="preserve">3.5.Нематеріальні активи. </w:t>
      </w:r>
      <w:r w:rsidRPr="00DD262C">
        <w:rPr>
          <w:rFonts w:ascii="Times New Roman" w:hAnsi="Times New Roman"/>
          <w:lang w:val="uk-UA"/>
        </w:rPr>
        <w:t>Нематеріальні активи оприбутковуються Компанією за первісною вартістю, яка складається з ціни придбання та інших витрат, пов’язаних із приведенням їх у стан придатний для використання, та відображаються в фінансової звітності за первісною вартістю за вирахування накопиченої амортизації та накопичених збитків від зменшення корисності. Амортизація нематеріальних активів проводиться за прямолінійним методом.</w:t>
      </w:r>
    </w:p>
    <w:p w:rsidR="00DD262C" w:rsidRPr="00DD262C" w:rsidRDefault="00DD262C" w:rsidP="00DD262C">
      <w:pPr>
        <w:pStyle w:val="ABC-paragrahinNotes"/>
        <w:spacing w:after="0"/>
        <w:rPr>
          <w:rFonts w:ascii="Times New Roman" w:hAnsi="Times New Roman"/>
          <w:lang w:val="uk-UA"/>
        </w:rPr>
      </w:pPr>
      <w:r w:rsidRPr="00DD262C">
        <w:rPr>
          <w:rFonts w:ascii="Times New Roman" w:hAnsi="Times New Roman"/>
          <w:lang w:val="uk-UA"/>
        </w:rPr>
        <w:t>Компанією встановлені наступні строки корисного використання нематеріальних активів:</w:t>
      </w:r>
    </w:p>
    <w:p w:rsidR="00DD262C" w:rsidRPr="00DD262C" w:rsidRDefault="00DD262C" w:rsidP="00DD262C">
      <w:pPr>
        <w:pStyle w:val="ABC-paragrahinNotes"/>
        <w:spacing w:after="0"/>
        <w:ind w:left="4963" w:firstLine="709"/>
        <w:jc w:val="center"/>
        <w:rPr>
          <w:rFonts w:ascii="Times New Roman" w:hAnsi="Times New Roman"/>
          <w:sz w:val="18"/>
          <w:szCs w:val="18"/>
          <w:lang w:val="uk-UA"/>
        </w:rPr>
      </w:pPr>
    </w:p>
    <w:p w:rsidR="00DD262C" w:rsidRPr="00DD262C" w:rsidRDefault="00DD262C" w:rsidP="00DD262C">
      <w:pPr>
        <w:pStyle w:val="ABC-paragrahinNotes"/>
        <w:spacing w:after="0"/>
        <w:ind w:left="4963" w:firstLine="709"/>
        <w:jc w:val="center"/>
        <w:rPr>
          <w:rFonts w:ascii="Times New Roman" w:hAnsi="Times New Roman"/>
          <w:sz w:val="18"/>
          <w:szCs w:val="18"/>
          <w:lang w:val="uk-UA"/>
        </w:rPr>
      </w:pPr>
      <w:r w:rsidRPr="00DD262C">
        <w:rPr>
          <w:rFonts w:ascii="Times New Roman" w:hAnsi="Times New Roman"/>
          <w:sz w:val="18"/>
          <w:szCs w:val="18"/>
          <w:lang w:val="uk-UA"/>
        </w:rPr>
        <w:t>Таб. 3.5</w:t>
      </w:r>
    </w:p>
    <w:tbl>
      <w:tblPr>
        <w:tblW w:w="944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220"/>
        <w:gridCol w:w="3220"/>
      </w:tblGrid>
      <w:tr w:rsidR="00DD262C" w:rsidRPr="00DD262C" w:rsidTr="00B80E44">
        <w:trPr>
          <w:trHeight w:val="254"/>
          <w:jc w:val="center"/>
        </w:trPr>
        <w:tc>
          <w:tcPr>
            <w:tcW w:w="6220" w:type="dxa"/>
            <w:shd w:val="clear" w:color="000000"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групи</w:t>
            </w:r>
          </w:p>
        </w:tc>
        <w:tc>
          <w:tcPr>
            <w:tcW w:w="3220" w:type="dxa"/>
            <w:shd w:val="clear" w:color="000000"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Строк корисного використання (років)</w:t>
            </w:r>
          </w:p>
        </w:tc>
      </w:tr>
      <w:tr w:rsidR="00DD262C" w:rsidRPr="00DD262C" w:rsidTr="00B80E44">
        <w:trPr>
          <w:trHeight w:val="155"/>
          <w:jc w:val="center"/>
        </w:trPr>
        <w:tc>
          <w:tcPr>
            <w:tcW w:w="6220" w:type="dxa"/>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Права на використання програм для комп'ютерної техніки, на різні бази даних, інше програмне забезпечення.</w:t>
            </w:r>
          </w:p>
        </w:tc>
        <w:tc>
          <w:tcPr>
            <w:tcW w:w="3220" w:type="dxa"/>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r>
      <w:tr w:rsidR="00DD262C" w:rsidRPr="00DD262C" w:rsidTr="00B80E44">
        <w:trPr>
          <w:trHeight w:val="60"/>
          <w:jc w:val="center"/>
        </w:trPr>
        <w:tc>
          <w:tcPr>
            <w:tcW w:w="6220" w:type="dxa"/>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Інші нематеріальні активи</w:t>
            </w:r>
          </w:p>
        </w:tc>
        <w:tc>
          <w:tcPr>
            <w:tcW w:w="3220" w:type="dxa"/>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r>
      <w:tr w:rsidR="00DD262C" w:rsidRPr="00DD262C" w:rsidTr="00B80E44">
        <w:trPr>
          <w:trHeight w:val="60"/>
          <w:jc w:val="center"/>
        </w:trPr>
        <w:tc>
          <w:tcPr>
            <w:tcW w:w="6220" w:type="dxa"/>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Ліцензії на впровадження страхової діяльності</w:t>
            </w:r>
          </w:p>
        </w:tc>
        <w:tc>
          <w:tcPr>
            <w:tcW w:w="3220" w:type="dxa"/>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bl>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xml:space="preserve">Ліцензії на впровадження страхової діяльності  є активами з невизначеним строком використання, тому їх облік здійснюється без нарахування амортизації.  </w:t>
      </w:r>
    </w:p>
    <w:p w:rsidR="00DD262C" w:rsidRPr="00DD262C" w:rsidRDefault="00DD262C" w:rsidP="00DD262C">
      <w:pPr>
        <w:pStyle w:val="ABC-paragrahinNotes"/>
        <w:spacing w:after="0"/>
        <w:ind w:firstLine="540"/>
        <w:rPr>
          <w:rFonts w:ascii="Times New Roman" w:hAnsi="Times New Roman"/>
          <w:lang w:val="uk-UA"/>
        </w:rPr>
      </w:pP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b/>
          <w:i/>
          <w:lang w:val="uk-UA"/>
        </w:rPr>
        <w:t>3.6. Інвестиційна нерухомість.</w:t>
      </w:r>
      <w:r w:rsidRPr="00DD262C">
        <w:rPr>
          <w:rFonts w:ascii="Times New Roman" w:hAnsi="Times New Roman"/>
          <w:lang w:val="uk-UA"/>
        </w:rPr>
        <w:t xml:space="preserve"> Одиницею обліку інвестиційної нерухомості є земля чи будівля або частина будівлі, або земля і будівля, що перебувають у розпорядженні власника або лізингоодержувача за договором про фінансовий лізинг (оренду) з метою отримання орендних платежів, доходів від зростання капіталу або того чи іншого, а не для надання послуг або адміністративних цілей. До інвестиційної нерухомості належать: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xml:space="preserve">(а) земля, що утримується з метою отримання вигоди від зростання капіталу в довгостроковій перспективі, а не для реалізації в короткостроковій перспективі в процесі діяльності;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xml:space="preserve">(б) земля, подальше використання якої на цей час не визначено;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xml:space="preserve">(в) будівля, що перебуває у власності компанії або в розпорядженні за договором про фінансовий лізинг (оренду) та надається в лізинг (оренду) за одним або кількома договорами про оперативний лізинг (оренду);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(г) будівля, що не зайнята на цей час та призначена для надання в лізинг (оренду) за одним або кількома договорами про оперативний лізинг (оренду).</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xml:space="preserve"> Під час первісного визнання інвестиційної нерухомості Компанія оцінює її за первісною вартістю, яка включає ціну придбання цієї нерухомості та всі витрати, що безпосередньо пов'язані з її придбанням. Після первісного визнання об'єкта інвестиційної нерухомості подальшу його оцінку Компанія здійснює за  переоціненою вартістю, яка являє собою справедливу вартість на дату переоцінки та визначається на основі ринкових даних за допомогою незалежних оцінювачів. Переоцінка здійснюється з достатньою регулярністю таким чином , щоб балансова вартість інвестиційної нерухомості не відрізнялась істотно від вартості, яка була б визначена з використанням справедливої вартості на звітну дату. Прибутки або збитки, які виникають у результаті зміни справедливої вартості інвестиційної нерухомості, включаються до складу прибутку або збитку того періоду, у якому вони виникають.</w:t>
      </w:r>
    </w:p>
    <w:p w:rsidR="00DD262C" w:rsidRPr="00DD262C" w:rsidRDefault="00DD262C" w:rsidP="00DD262C">
      <w:pPr>
        <w:pStyle w:val="ABC-paragrahinNotes"/>
        <w:spacing w:after="0"/>
        <w:ind w:firstLine="540"/>
        <w:rPr>
          <w:rFonts w:ascii="Times New Roman" w:hAnsi="Times New Roman"/>
          <w:lang w:val="uk-UA"/>
        </w:rPr>
      </w:pP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b/>
          <w:bCs/>
          <w:i/>
          <w:iCs/>
          <w:color w:val="000000"/>
          <w:lang w:val="uk-UA" w:eastAsia="sk-SK"/>
        </w:rPr>
        <w:t xml:space="preserve">3.7. Оренда. </w:t>
      </w:r>
      <w:r w:rsidRPr="00DD262C">
        <w:rPr>
          <w:rFonts w:ascii="Times New Roman" w:hAnsi="Times New Roman" w:cs="Times New Roman"/>
          <w:lang w:val="uk-UA"/>
        </w:rPr>
        <w:t>Договір в цілому, або його окремі компоненти є договором оренди, якщо за цим договором передається право користування ідентифікованого активу протягом певного періоду в обмін на відшкодування. У випадку, якщо відбувається зміна в умовах договору оренди,  то Компанія проводить повторну оцінку договору.  На дату початку оренди, Компанія як орендар, визнає актив у формі права користування та зобов’язання з оренди.</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 xml:space="preserve"> Товариство розглядає можливість визнати малоцінними об’єкти оренди, справедлива вартість яких у новому стані становить вартість, яка менше  5% розміру первісної вартості основних засобів на звітну дату. Короткостроковою є оренда до 12 місяців. По договорам з такими активами в момент укладення договору оренди активи та зобов’язанням не визнаються. Витрати  відносяться на виробничі, адміністративні, збутові та інші витрати відповідно до цільового використання базових активів Товариством по мірі нарахування чергових платежів до сплати.</w:t>
      </w:r>
    </w:p>
    <w:p w:rsidR="00DD262C" w:rsidRPr="00DD262C" w:rsidRDefault="00DD262C" w:rsidP="00DD262C">
      <w:pPr>
        <w:pStyle w:val="ABC-paragrahinNotes"/>
        <w:spacing w:after="0"/>
        <w:ind w:firstLine="539"/>
        <w:rPr>
          <w:rFonts w:ascii="Times New Roman" w:hAnsi="Times New Roman"/>
          <w:bCs/>
          <w:iCs/>
          <w:color w:val="000000"/>
          <w:lang w:val="uk-UA" w:eastAsia="sk-SK"/>
        </w:rPr>
      </w:pPr>
      <w:r w:rsidRPr="00DD262C">
        <w:rPr>
          <w:rFonts w:ascii="Times New Roman" w:hAnsi="Times New Roman"/>
          <w:b/>
          <w:bCs/>
          <w:i/>
          <w:iCs/>
          <w:color w:val="000000"/>
          <w:lang w:val="uk-UA" w:eastAsia="sk-SK"/>
        </w:rPr>
        <w:t xml:space="preserve">3.8. Фінансові зобов’язання. </w:t>
      </w:r>
      <w:r w:rsidRPr="00DD262C">
        <w:rPr>
          <w:rFonts w:ascii="Times New Roman" w:hAnsi="Times New Roman"/>
          <w:bCs/>
          <w:iCs/>
          <w:color w:val="000000"/>
          <w:lang w:val="uk-UA" w:eastAsia="sk-SK"/>
        </w:rPr>
        <w:t>Фінансові зобов’язання визнаються коли Товариство стає стороною контрактних умов, що стосуються фінансових зобов’язань.   Процентні витрати, що пов’язані з фінансовими зобов’язаннями відображаються в складі процентних витрат.</w:t>
      </w:r>
    </w:p>
    <w:p w:rsidR="00DD262C" w:rsidRPr="00DD262C" w:rsidRDefault="00DD262C" w:rsidP="00DD262C">
      <w:pPr>
        <w:pStyle w:val="ABC-paragrahinNotes"/>
        <w:spacing w:after="0"/>
        <w:ind w:firstLine="539"/>
        <w:rPr>
          <w:rFonts w:ascii="Times New Roman" w:hAnsi="Times New Roman"/>
          <w:bCs/>
          <w:iCs/>
          <w:color w:val="000000"/>
          <w:lang w:val="uk-UA" w:eastAsia="sk-SK"/>
        </w:rPr>
      </w:pPr>
    </w:p>
    <w:p w:rsidR="00DD262C" w:rsidRPr="00DD262C" w:rsidRDefault="00DD262C" w:rsidP="00DD262C">
      <w:pPr>
        <w:pStyle w:val="ABC-paragrahinNotes"/>
        <w:spacing w:after="0"/>
        <w:ind w:firstLine="539"/>
        <w:rPr>
          <w:rFonts w:ascii="Times New Roman" w:hAnsi="Times New Roman"/>
          <w:lang w:val="uk-UA"/>
        </w:rPr>
      </w:pPr>
      <w:r w:rsidRPr="00DD262C">
        <w:rPr>
          <w:rFonts w:ascii="Times New Roman" w:hAnsi="Times New Roman"/>
          <w:b/>
          <w:bCs/>
          <w:i/>
          <w:iCs/>
          <w:lang w:val="uk-UA"/>
        </w:rPr>
        <w:t xml:space="preserve">3.9. Податок на прибуток. </w:t>
      </w:r>
      <w:r w:rsidRPr="00DD262C">
        <w:rPr>
          <w:rFonts w:ascii="Times New Roman" w:hAnsi="Times New Roman"/>
          <w:lang w:val="uk-UA"/>
        </w:rPr>
        <w:t xml:space="preserve">Податок на прибуток відображаються у фінансовій звітності відповідно до законодавства, прийнятого або фактично прийнятого до кінця звітного періоду. Витрати або доходи з податку на прибуток включають поточний та відстрочений податок та визнаються у складі прибутків або збитків за рік, за винятком випадків, коли вони визнаються у складі іншого сукупного доходу або безпосередньо у складі власного капіталу, оскільки вони  пов’язані з угодами, які також визнаються, у тому самому чи іншому періоді, у складі іншого сукупного доходу або безпосередньо у складі власного капіталу.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Відстрочений податок на прибуток обчислюється з використанням методу балансових зобов’язань для перенесених податкових збитків та тимчасових різниць, що виникають між податковими базами активів та зобов’язань та їх балансовою вартістю для цілей фінансової звітності.</w:t>
      </w:r>
      <w:r w:rsidRPr="00DD262C">
        <w:rPr>
          <w:rFonts w:ascii="Times New Roman" w:hAnsi="Times New Roman"/>
          <w:color w:val="0000FF"/>
          <w:lang w:val="uk-UA"/>
        </w:rPr>
        <w:t xml:space="preserve"> </w:t>
      </w:r>
      <w:r w:rsidRPr="00DD262C">
        <w:rPr>
          <w:rFonts w:ascii="Times New Roman" w:hAnsi="Times New Roman"/>
          <w:lang w:val="uk-UA"/>
        </w:rPr>
        <w:t xml:space="preserve">Залишки відстрочених податкових активів та зобов’язань оцінюються за податковими ставками, затвердженими або фактично затвердженими наприкінці звітного періоду, які повинні застосуватися до періоду, коли будуть перекласифіковані тимчасові різниці або коли будуть використані перенесені податкові збитки. Відстрочений податковий актив для тимчасових різниць, що підлягають вирахуванню, та перенесених податкових збитків обліковується лише у разі, якщо є вірогідність того, що буде доступним майбутній оподатковуваний прибуток, за яким можуть бути реалізовані вирахування. </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Відстрочені податки в  Компанія не нараховувала.</w:t>
      </w:r>
    </w:p>
    <w:p w:rsidR="00DD262C" w:rsidRPr="00DD262C" w:rsidRDefault="00DD262C" w:rsidP="00DD262C">
      <w:pPr>
        <w:pStyle w:val="ABC-paragrahinNotes"/>
        <w:spacing w:after="0" w:line="360" w:lineRule="auto"/>
        <w:ind w:firstLine="540"/>
        <w:rPr>
          <w:rFonts w:ascii="Times New Roman" w:hAnsi="Times New Roman"/>
          <w:bCs/>
          <w:iCs/>
          <w:color w:val="000000"/>
          <w:lang w:val="uk-UA" w:eastAsia="sk-SK"/>
        </w:rPr>
      </w:pPr>
      <w:r w:rsidRPr="00DD262C">
        <w:rPr>
          <w:rFonts w:ascii="Times New Roman" w:hAnsi="Times New Roman"/>
          <w:bCs/>
          <w:iCs/>
          <w:color w:val="000000"/>
          <w:lang w:val="uk-UA" w:eastAsia="sk-SK"/>
        </w:rPr>
        <w:t>Згідно законодавства ставка податку на прибуток в 2022 році становила 18%, від страхової діяльності – 3%, 0%.</w:t>
      </w: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b/>
          <w:bCs/>
          <w:i/>
          <w:iCs/>
          <w:lang w:val="uk-UA"/>
        </w:rPr>
        <w:t xml:space="preserve">3.10. Статутний капітал та емісійний дохід. </w:t>
      </w:r>
      <w:r w:rsidRPr="00DD262C">
        <w:rPr>
          <w:rFonts w:ascii="Times New Roman" w:hAnsi="Times New Roman"/>
          <w:lang w:val="uk-UA"/>
        </w:rPr>
        <w:t xml:space="preserve">Звичайні акції за номіналом класифікуються як власний капітал. Будь-яка надмірна сума справедливої вартості винагороди, одержаної понад номінальну вартість випущених акцій, обліковується як емісійний дохід у складі власного капіталу. </w:t>
      </w:r>
    </w:p>
    <w:p w:rsidR="00DD262C" w:rsidRPr="00DD262C" w:rsidRDefault="00DD262C" w:rsidP="00DD262C">
      <w:pPr>
        <w:pStyle w:val="ABC-paragrahinNotes"/>
        <w:spacing w:after="0"/>
        <w:ind w:firstLine="540"/>
        <w:rPr>
          <w:rFonts w:ascii="Times New Roman" w:hAnsi="Times New Roman"/>
          <w:lang w:val="uk-UA"/>
        </w:rPr>
      </w:pPr>
    </w:p>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b/>
          <w:bCs/>
          <w:i/>
          <w:iCs/>
          <w:lang w:val="uk-UA"/>
        </w:rPr>
        <w:t xml:space="preserve">3.11. Валюта виміру та подання. </w:t>
      </w:r>
      <w:r w:rsidRPr="00DD262C">
        <w:rPr>
          <w:rFonts w:ascii="Times New Roman" w:hAnsi="Times New Roman"/>
          <w:lang w:val="uk-UA"/>
        </w:rPr>
        <w:t xml:space="preserve">Функціональною валютою Компанії є валюта основного економічного середовища, в якому вона функціонує. Функціональною валютою та валютою представлення звітності є національна валюта України – гривня </w:t>
      </w:r>
      <w:r w:rsidRPr="00DD262C">
        <w:rPr>
          <w:rFonts w:ascii="Times New Roman" w:hAnsi="Times New Roman"/>
          <w:snapToGrid w:val="0"/>
          <w:spacing w:val="-4"/>
          <w:lang w:val="uk-UA"/>
        </w:rPr>
        <w:t>(надалі – «гривня» або «UAH»)</w:t>
      </w:r>
      <w:r w:rsidRPr="00DD262C">
        <w:rPr>
          <w:rFonts w:ascii="Times New Roman" w:hAnsi="Times New Roman"/>
          <w:lang w:val="uk-UA"/>
        </w:rPr>
        <w:t>. Всі суми в звітності наведено в тисячах гривень.</w:t>
      </w:r>
    </w:p>
    <w:p w:rsidR="00DD262C" w:rsidRPr="00DD262C" w:rsidRDefault="00DD262C" w:rsidP="00DD262C">
      <w:pPr>
        <w:pStyle w:val="ABC-paragrahinNotes"/>
        <w:spacing w:after="0"/>
        <w:ind w:firstLine="540"/>
        <w:rPr>
          <w:rFonts w:ascii="Times New Roman" w:hAnsi="Times New Roman"/>
          <w:lang w:val="uk-UA"/>
        </w:rPr>
      </w:pP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b/>
          <w:bCs/>
          <w:i/>
          <w:color w:val="000000"/>
          <w:lang w:val="uk-UA"/>
        </w:rPr>
        <w:t>3.12. Р</w:t>
      </w:r>
      <w:r w:rsidRPr="00DD262C">
        <w:rPr>
          <w:rFonts w:ascii="Times New Roman" w:hAnsi="Times New Roman" w:cs="Times New Roman"/>
          <w:b/>
          <w:bCs/>
          <w:i/>
          <w:iCs/>
          <w:lang w:val="uk-UA"/>
        </w:rPr>
        <w:t xml:space="preserve">езерви. </w:t>
      </w:r>
      <w:r w:rsidRPr="00DD262C">
        <w:rPr>
          <w:rFonts w:ascii="Times New Roman" w:hAnsi="Times New Roman" w:cs="Times New Roman"/>
          <w:lang w:val="uk-UA"/>
        </w:rPr>
        <w:t>Компанія формує і веде облік таких технічних резервів за видами страхування:</w:t>
      </w:r>
    </w:p>
    <w:p w:rsidR="00DD262C" w:rsidRPr="00DD262C" w:rsidRDefault="00DD262C" w:rsidP="00DD262C">
      <w:pPr>
        <w:pStyle w:val="a3"/>
        <w:ind w:right="0" w:firstLine="540"/>
      </w:pPr>
      <w:r w:rsidRPr="00DD262C">
        <w:t>а) Резерв незароблених премій (резерви премій), що включають частки від сум надходжень страхових платежів (страхових внесків, страхових премій), що відповідають страховим ризикам, які не минули на звітну дату. Величина резервів незароблених премій на будь-яку звітну дату обчислюється в такому порядку:</w:t>
      </w:r>
    </w:p>
    <w:p w:rsidR="00DD262C" w:rsidRPr="00DD262C" w:rsidRDefault="00DD262C" w:rsidP="00DD262C">
      <w:pPr>
        <w:pStyle w:val="a3"/>
        <w:ind w:right="0" w:firstLine="540"/>
      </w:pPr>
      <w:r w:rsidRPr="00DD262C">
        <w:t>- за страхуванням цивільно-правової відповідальності власників транспортних засобів – методом 1/365</w:t>
      </w:r>
    </w:p>
    <w:p w:rsidR="00DD262C" w:rsidRPr="00DD262C" w:rsidRDefault="00DD262C" w:rsidP="00DD262C">
      <w:pPr>
        <w:pStyle w:val="a3"/>
        <w:ind w:right="0" w:firstLine="540"/>
      </w:pPr>
      <w:r w:rsidRPr="00DD262C">
        <w:t xml:space="preserve">- за всіма видами страхування, окрім вищезазначеного – методом 1/24. </w:t>
      </w:r>
    </w:p>
    <w:p w:rsidR="00DD262C" w:rsidRPr="00DD262C" w:rsidRDefault="00DD262C" w:rsidP="00DD262C">
      <w:pPr>
        <w:pStyle w:val="a3"/>
        <w:ind w:right="0" w:firstLine="540"/>
      </w:pPr>
      <w:r w:rsidRPr="00DD262C">
        <w:t>б) Величина резерву заявлених, але не виплачених збитків відповідає сумі заявлених збитків у звітному періоді, збільшеній на суму не виплачених збитків на початок звітного періоду за попередні періоди, зменшеній на суму виплачених збитків у звітному періоді плюс витрати на врегулювання збитків у розмірі 3 відсотків від суми невиплачених збитків на кінець звітного періоду.</w:t>
      </w:r>
    </w:p>
    <w:p w:rsidR="00DD262C" w:rsidRPr="00DD262C" w:rsidRDefault="00DD262C" w:rsidP="00DD262C">
      <w:pPr>
        <w:pStyle w:val="a3"/>
        <w:ind w:right="0" w:firstLine="540"/>
      </w:pPr>
      <w:r w:rsidRPr="00DD262C">
        <w:t xml:space="preserve">  Аналітичний облік резервів здійснюється за  видами страхування.</w:t>
      </w:r>
    </w:p>
    <w:p w:rsidR="00DD262C" w:rsidRPr="00DD262C" w:rsidRDefault="00DD262C" w:rsidP="00DD262C">
      <w:pPr>
        <w:pStyle w:val="a3"/>
        <w:ind w:right="0" w:firstLine="540"/>
      </w:pPr>
    </w:p>
    <w:p w:rsidR="00DD262C" w:rsidRPr="00DD262C" w:rsidRDefault="00DD262C" w:rsidP="00DD262C">
      <w:pPr>
        <w:ind w:firstLine="539"/>
        <w:jc w:val="both"/>
        <w:rPr>
          <w:rFonts w:ascii="Times New Roman" w:hAnsi="Times New Roman" w:cs="Times New Roman"/>
          <w:color w:val="000000"/>
          <w:lang w:val="uk-UA"/>
        </w:rPr>
      </w:pPr>
      <w:r w:rsidRPr="00DD262C">
        <w:rPr>
          <w:rFonts w:ascii="Times New Roman" w:hAnsi="Times New Roman" w:cs="Times New Roman"/>
          <w:b/>
          <w:bCs/>
          <w:i/>
          <w:color w:val="000000"/>
          <w:lang w:val="uk-UA"/>
        </w:rPr>
        <w:t xml:space="preserve">3.13. Перевірка адекватності страхових зобов’язань. </w:t>
      </w:r>
      <w:r w:rsidRPr="00DD262C">
        <w:rPr>
          <w:rFonts w:ascii="Times New Roman" w:hAnsi="Times New Roman" w:cs="Times New Roman"/>
          <w:color w:val="000000"/>
          <w:lang w:val="uk-UA"/>
        </w:rPr>
        <w:t xml:space="preserve">Страхова компанія перевіряє на кінець кожного звітного періоду, чи є її визнані страхові зобов’язання адекватними. </w:t>
      </w:r>
    </w:p>
    <w:p w:rsidR="00DD262C" w:rsidRPr="00DD262C" w:rsidRDefault="00DD262C" w:rsidP="00DD262C">
      <w:pPr>
        <w:ind w:firstLine="539"/>
        <w:jc w:val="both"/>
        <w:rPr>
          <w:rFonts w:ascii="Times New Roman" w:hAnsi="Times New Roman" w:cs="Times New Roman"/>
          <w:color w:val="000000"/>
          <w:lang w:val="uk-UA"/>
        </w:rPr>
      </w:pPr>
      <w:r w:rsidRPr="00DD262C">
        <w:rPr>
          <w:rFonts w:ascii="Times New Roman" w:hAnsi="Times New Roman" w:cs="Times New Roman"/>
          <w:color w:val="000000"/>
          <w:lang w:val="uk-UA"/>
        </w:rPr>
        <w:t xml:space="preserve"> Під перевіркою адекватності зобов’язань необхідно розуміти оцінку необхідності збільшення балансової вартості страхового зобов’язання  на основі аналізу майбутніх грошових потоків. </w:t>
      </w:r>
    </w:p>
    <w:p w:rsidR="00DD262C" w:rsidRPr="00DD262C" w:rsidRDefault="00DD262C" w:rsidP="00DD262C">
      <w:pPr>
        <w:ind w:firstLine="539"/>
        <w:jc w:val="both"/>
        <w:rPr>
          <w:rFonts w:ascii="Times New Roman" w:hAnsi="Times New Roman" w:cs="Times New Roman"/>
          <w:color w:val="000000"/>
          <w:lang w:val="uk-UA"/>
        </w:rPr>
      </w:pPr>
      <w:r w:rsidRPr="00DD262C">
        <w:rPr>
          <w:rFonts w:ascii="Times New Roman" w:hAnsi="Times New Roman" w:cs="Times New Roman"/>
          <w:color w:val="000000"/>
          <w:lang w:val="uk-UA"/>
        </w:rPr>
        <w:t>Якщо ця оцінка показує, що балансова вартість його страхових зобов’язань за вирахуванням відповідних відстрочених аквізиційних витрат та відповідних нематеріальних активів, є неадекватною в контексті розрахункових показників майбутніх рухів грошових коштів, нестачу необхідно повністю визнавати у звіті про прибутки та збитки.</w:t>
      </w:r>
    </w:p>
    <w:p w:rsidR="00DD262C" w:rsidRPr="00DD262C" w:rsidRDefault="00DD262C" w:rsidP="00DD262C">
      <w:pPr>
        <w:ind w:firstLine="539"/>
        <w:jc w:val="both"/>
        <w:rPr>
          <w:rFonts w:ascii="Times New Roman" w:hAnsi="Times New Roman" w:cs="Times New Roman"/>
          <w:color w:val="000000"/>
          <w:lang w:val="uk-UA"/>
        </w:rPr>
      </w:pPr>
      <w:r w:rsidRPr="00DD262C">
        <w:rPr>
          <w:rFonts w:ascii="Times New Roman" w:hAnsi="Times New Roman" w:cs="Times New Roman"/>
          <w:color w:val="000000"/>
          <w:lang w:val="uk-UA"/>
        </w:rPr>
        <w:t xml:space="preserve">Страхова компанія виключає страхове зобов’язання із звітності  тільки, коли воно погашене, тобто коли вказані в договорі зобов’язання виконано, або анульовано, або  термін його дії закінчився. </w:t>
      </w:r>
    </w:p>
    <w:p w:rsidR="00DD262C" w:rsidRPr="00DD262C" w:rsidRDefault="00DD262C" w:rsidP="00DD262C">
      <w:pPr>
        <w:pStyle w:val="ABC-paragrahinNotes"/>
        <w:spacing w:after="0"/>
        <w:ind w:firstLine="539"/>
        <w:rPr>
          <w:rFonts w:ascii="Times New Roman" w:hAnsi="Times New Roman"/>
          <w:lang w:val="uk-UA"/>
        </w:rPr>
      </w:pPr>
      <w:r w:rsidRPr="00DD262C">
        <w:rPr>
          <w:rFonts w:ascii="Times New Roman" w:hAnsi="Times New Roman"/>
          <w:b/>
          <w:bCs/>
          <w:i/>
          <w:iCs/>
          <w:color w:val="000000"/>
          <w:lang w:val="uk-UA" w:eastAsia="sk-SK"/>
        </w:rPr>
        <w:t xml:space="preserve">3.14. Інформація за операційними сегментами. </w:t>
      </w:r>
      <w:r w:rsidRPr="00DD262C">
        <w:rPr>
          <w:rFonts w:ascii="Times New Roman" w:hAnsi="Times New Roman"/>
          <w:bCs/>
          <w:color w:val="000000"/>
          <w:lang w:val="uk-UA"/>
        </w:rPr>
        <w:t>Компонент Компанії розглядається як операційний сегмент лише, якщо по цьому компоненту є окрема фінансова інформація, яка дозволяє керівництву приймати рішення відносно розподілу ресурсів.  З огляду на це,  обл</w:t>
      </w:r>
      <w:r w:rsidRPr="00DD262C">
        <w:rPr>
          <w:rFonts w:ascii="Times New Roman" w:hAnsi="Times New Roman"/>
          <w:lang w:val="uk-UA"/>
        </w:rPr>
        <w:t xml:space="preserve">іковими сегментами  Компанії  є   види страхових продуктів. Доходи та певні витрати сегментів регулярно аналізуються  керівництвом та відповідна інформація надається регуляторному органу. В той же  час, слід зазначити, що  інформація про активи та зобов’язання в розрізі сегментів Компанією не розраховується, та не надається керівному органу, який відповідає за прийняття рішень. Зважаючи на відсутність такої інформації та неефективність її отримання,   інформація про активи та зобов’язання сегментів в звітності не наводиться. </w:t>
      </w:r>
    </w:p>
    <w:tbl>
      <w:tblPr>
        <w:tblpPr w:leftFromText="180" w:rightFromText="180" w:vertAnchor="text" w:horzAnchor="margin" w:tblpXSpec="center" w:tblpY="23"/>
        <w:tblW w:w="99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928"/>
        <w:gridCol w:w="2175"/>
        <w:gridCol w:w="1276"/>
        <w:gridCol w:w="3529"/>
      </w:tblGrid>
      <w:tr w:rsidR="00DD262C" w:rsidRPr="00DD262C" w:rsidTr="00B80E44">
        <w:tc>
          <w:tcPr>
            <w:tcW w:w="2928"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sz w:val="18"/>
                <w:szCs w:val="18"/>
                <w:lang w:val="uk-UA"/>
              </w:rPr>
            </w:pPr>
            <w:r w:rsidRPr="00DD262C">
              <w:rPr>
                <w:rFonts w:ascii="Times New Roman" w:hAnsi="Times New Roman" w:cs="Times New Roman"/>
                <w:b/>
                <w:bCs/>
                <w:i/>
                <w:color w:val="FFFFFF"/>
                <w:sz w:val="18"/>
                <w:szCs w:val="18"/>
                <w:lang w:val="uk-UA"/>
              </w:rPr>
              <w:t>Класи активів та зобов’язань, оцінених за справедливою вартістю</w:t>
            </w:r>
          </w:p>
        </w:tc>
        <w:tc>
          <w:tcPr>
            <w:tcW w:w="2175"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sz w:val="18"/>
                <w:szCs w:val="18"/>
                <w:lang w:val="uk-UA"/>
              </w:rPr>
            </w:pPr>
            <w:r w:rsidRPr="00DD262C">
              <w:rPr>
                <w:rFonts w:ascii="Times New Roman" w:hAnsi="Times New Roman" w:cs="Times New Roman"/>
                <w:b/>
                <w:bCs/>
                <w:i/>
                <w:color w:val="FFFFFF"/>
                <w:sz w:val="18"/>
                <w:szCs w:val="18"/>
                <w:lang w:val="uk-UA"/>
              </w:rPr>
              <w:t>Методики оцінювання</w:t>
            </w:r>
          </w:p>
        </w:tc>
        <w:tc>
          <w:tcPr>
            <w:tcW w:w="1276"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sz w:val="18"/>
                <w:szCs w:val="18"/>
                <w:lang w:val="uk-UA"/>
              </w:rPr>
            </w:pPr>
            <w:r w:rsidRPr="00DD262C">
              <w:rPr>
                <w:rFonts w:ascii="Times New Roman" w:hAnsi="Times New Roman" w:cs="Times New Roman"/>
                <w:b/>
                <w:bCs/>
                <w:i/>
                <w:color w:val="FFFFFF"/>
                <w:sz w:val="18"/>
                <w:szCs w:val="18"/>
                <w:lang w:val="uk-UA"/>
              </w:rPr>
              <w:t>Метод оцінки (ринковий, дохідний, витратний)</w:t>
            </w:r>
          </w:p>
        </w:tc>
        <w:tc>
          <w:tcPr>
            <w:tcW w:w="3529"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sz w:val="18"/>
                <w:szCs w:val="18"/>
                <w:lang w:val="uk-UA"/>
              </w:rPr>
            </w:pPr>
            <w:r w:rsidRPr="00DD262C">
              <w:rPr>
                <w:rFonts w:ascii="Times New Roman" w:hAnsi="Times New Roman" w:cs="Times New Roman"/>
                <w:b/>
                <w:bCs/>
                <w:i/>
                <w:color w:val="FFFFFF"/>
                <w:sz w:val="18"/>
                <w:szCs w:val="18"/>
                <w:lang w:val="uk-UA"/>
              </w:rPr>
              <w:t>Вихідні дані</w:t>
            </w:r>
          </w:p>
        </w:tc>
      </w:tr>
      <w:tr w:rsidR="00DD262C" w:rsidRPr="00DD262C" w:rsidTr="00B80E44">
        <w:trPr>
          <w:trHeight w:val="1056"/>
        </w:trPr>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Грошові кошти та їх еквіваленти</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та подальша оцінка грошових коштів та їх еквівалентів здійснюється за справедливою вартістю, яка дорівнює їх номінальній вартості</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Ринковий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Офіційні курси НБУ</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Депозити (крім депозитів до запитання)</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оцінка депозиту здійснюється за його справедливою вартістю, яка зазвичай дорівнює його номінальній вартості. Подальша оцінка депозитів у національній валюті здійснюється за справедливою вартістю очікуваних грошових потоків</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Дохідний (дисконтування грошових потоків)</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Ставки за депозитами, ефективні ставки за депозитними договорами</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Боргові цінні папери</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оцінка боргових цінних паперів як фінансових активів здійснюється за справедливою вартістю, яка зазвичай дорівнює ціні операції, в ході якої був отриманий актив. Подальша оцінка боргових цінних паперів здійснюється за справедливою вартістю.</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 xml:space="preserve">Ринковий, дохідний </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Офіційні біржові курси організаторів торгів на дату оцінки, котирування аналогічних боргових цінних паперів, дисконтовані потоки грошових коштів</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Інструменти капіталу</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оцінка інструментів капіталу здійснюється за їх справедливою вартістю, яка зазвичай дорівнює ціні операції, в ході якої був отриманий актив. Подальша оцінка інструментів капіталу здійснюється за справедливою вартістю на дату оцінки.</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Ринковий, дохідний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Офіційні біржові курси організаторів торгів на дату оцінки, за відсутності визначеного біржового курсу на дату оцінки, використовується остання балансова вартість, ціни закриття біржового торгового дня, інформація з позабіржового ринку.</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Дебіторська заборгованість</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та подальша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Дохідний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Контрактні умови, ймовірність погашення, очікувані вхідні грошові потоки</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 xml:space="preserve">Інвестиційна нерухомість </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оцінка інвестиційної нерухомості здійснюється за собівартістю. Подальша оцінка інвестиційної нерухомості здійснюється за справедливою вартістю на дату оцінки.</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Ринковий, дохідний, витратний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Ціни на ринку нерухомості; дані оцінки професійних оцінювачів</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Основні засоби</w:t>
            </w:r>
          </w:p>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 нерухомість, земельні ділянки)</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оцінка основних засобів здійснюється за собівартістю. Подальша оцінка основних засобів (нерухомість, земельні ділянки) здійснюється за справедливою вартістю на дату оцінки.</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Ринковий, дохідний, витратний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Ціни на ринку нерухомості; дані оцінки професійних оцінювачів</w:t>
            </w:r>
          </w:p>
        </w:tc>
      </w:tr>
      <w:tr w:rsidR="00DD262C" w:rsidRPr="00DD262C" w:rsidTr="00B80E44">
        <w:tc>
          <w:tcPr>
            <w:tcW w:w="2928"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Поточні зобов’язання</w:t>
            </w:r>
          </w:p>
        </w:tc>
        <w:tc>
          <w:tcPr>
            <w:tcW w:w="2175"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Первісна та подальша оцінка поточних зобов’язань здійснюється за вартістю погашення</w:t>
            </w:r>
          </w:p>
        </w:tc>
        <w:tc>
          <w:tcPr>
            <w:tcW w:w="1276"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Витратний</w:t>
            </w:r>
          </w:p>
        </w:tc>
        <w:tc>
          <w:tcPr>
            <w:tcW w:w="3529"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z w:val="18"/>
                <w:szCs w:val="18"/>
                <w:lang w:val="uk-UA"/>
              </w:rPr>
            </w:pPr>
            <w:r w:rsidRPr="00DD262C">
              <w:rPr>
                <w:rFonts w:ascii="Times New Roman" w:hAnsi="Times New Roman" w:cs="Times New Roman"/>
                <w:sz w:val="18"/>
                <w:szCs w:val="18"/>
                <w:lang w:val="uk-UA"/>
              </w:rPr>
              <w:t>Контрактні умови, ймовірність погашення, очікувані вихідні грошові потоки</w:t>
            </w:r>
          </w:p>
        </w:tc>
      </w:tr>
    </w:tbl>
    <w:p w:rsidR="00DD262C" w:rsidRPr="00DD262C" w:rsidRDefault="00DD262C" w:rsidP="00DD262C">
      <w:pPr>
        <w:pStyle w:val="ABC-paragrahinNotes"/>
        <w:spacing w:after="0"/>
        <w:ind w:firstLine="539"/>
        <w:rPr>
          <w:rFonts w:ascii="Times New Roman" w:hAnsi="Times New Roman"/>
          <w:lang w:val="uk-UA"/>
        </w:rPr>
      </w:pPr>
    </w:p>
    <w:p w:rsidR="00DD262C" w:rsidRPr="00DD262C" w:rsidRDefault="00DD262C" w:rsidP="00DD262C">
      <w:pPr>
        <w:pStyle w:val="ABC-paragrahinNotes"/>
        <w:spacing w:after="0"/>
        <w:ind w:firstLine="539"/>
        <w:rPr>
          <w:rFonts w:ascii="Times New Roman" w:hAnsi="Times New Roman"/>
          <w:b/>
          <w:i/>
          <w:lang w:val="uk-UA"/>
        </w:rPr>
      </w:pPr>
      <w:r w:rsidRPr="00DD262C">
        <w:rPr>
          <w:rFonts w:ascii="Times New Roman" w:hAnsi="Times New Roman"/>
          <w:b/>
          <w:i/>
          <w:lang w:val="uk-UA"/>
        </w:rPr>
        <w:t xml:space="preserve">3.15. Суттєвість. </w:t>
      </w:r>
      <w:r w:rsidRPr="00DD262C">
        <w:rPr>
          <w:rFonts w:ascii="Times New Roman" w:hAnsi="Times New Roman"/>
          <w:b/>
          <w:bCs/>
          <w:i/>
          <w:iCs/>
          <w:color w:val="000000"/>
          <w:shd w:val="clear" w:color="auto" w:fill="FFFFFF"/>
          <w:lang w:val="uk-UA"/>
        </w:rPr>
        <w:t>Суттєвість</w:t>
      </w:r>
      <w:r w:rsidRPr="00DD262C">
        <w:rPr>
          <w:rStyle w:val="apple-converted-space"/>
          <w:rFonts w:ascii="Times New Roman" w:hAnsi="Times New Roman"/>
          <w:b/>
          <w:bCs/>
          <w:i/>
          <w:iCs/>
          <w:color w:val="000000"/>
          <w:shd w:val="clear" w:color="auto" w:fill="FFFFFF"/>
          <w:lang w:val="uk-UA"/>
        </w:rPr>
        <w:t> </w:t>
      </w:r>
      <w:r w:rsidRPr="00DD262C">
        <w:rPr>
          <w:rFonts w:ascii="Times New Roman" w:hAnsi="Times New Roman"/>
          <w:color w:val="000000"/>
          <w:shd w:val="clear" w:color="auto" w:fill="FFFFFF"/>
          <w:lang w:val="uk-UA"/>
        </w:rPr>
        <w:t>– пропуск</w:t>
      </w:r>
      <w:r w:rsidRPr="00DD262C">
        <w:rPr>
          <w:rStyle w:val="apple-converted-space"/>
          <w:rFonts w:ascii="Times New Roman" w:hAnsi="Times New Roman"/>
          <w:b/>
          <w:bCs/>
          <w:i/>
          <w:iCs/>
          <w:color w:val="000000"/>
          <w:shd w:val="clear" w:color="auto" w:fill="FFFFFF"/>
          <w:lang w:val="uk-UA"/>
        </w:rPr>
        <w:t> </w:t>
      </w:r>
      <w:r w:rsidRPr="00DD262C">
        <w:rPr>
          <w:rFonts w:ascii="Times New Roman" w:hAnsi="Times New Roman"/>
          <w:color w:val="000000"/>
          <w:shd w:val="clear" w:color="auto" w:fill="FFFFFF"/>
          <w:lang w:val="uk-UA"/>
        </w:rPr>
        <w:t>або викривлення статей є суттєвим, якщо вони можуть (окремо чи в сукупності) впливати на економічні рішення, які приймають користувачі на основі фінансової звітності. Суттєвість залежить від розміру чи характеру пропуску чи викривлення, що оцінюється за конкретних обставин. Визначальним може бути як розмір або характер статті, так і поєднання статей. </w:t>
      </w:r>
    </w:p>
    <w:p w:rsidR="00DD262C" w:rsidRPr="00DD262C" w:rsidRDefault="00DD262C" w:rsidP="00DD262C">
      <w:pPr>
        <w:pStyle w:val="ABC-paragrahinNotes"/>
        <w:spacing w:after="0"/>
        <w:ind w:firstLine="539"/>
        <w:rPr>
          <w:rFonts w:ascii="Times New Roman" w:hAnsi="Times New Roman"/>
          <w:lang w:val="uk-UA"/>
        </w:rPr>
      </w:pPr>
    </w:p>
    <w:bookmarkEnd w:id="1"/>
    <w:bookmarkEnd w:id="2"/>
    <w:p w:rsidR="00DD262C" w:rsidRPr="00DD262C" w:rsidRDefault="00DD262C" w:rsidP="00DD262C">
      <w:pPr>
        <w:ind w:firstLine="540"/>
        <w:jc w:val="center"/>
        <w:rPr>
          <w:rFonts w:ascii="Times New Roman" w:hAnsi="Times New Roman" w:cs="Times New Roman"/>
          <w:kern w:val="28"/>
          <w:lang w:val="uk-UA"/>
        </w:rPr>
      </w:pPr>
      <w:r w:rsidRPr="00DD262C">
        <w:rPr>
          <w:rFonts w:ascii="Times New Roman" w:hAnsi="Times New Roman" w:cs="Times New Roman"/>
          <w:b/>
          <w:i/>
          <w:kern w:val="28"/>
          <w:sz w:val="26"/>
          <w:szCs w:val="26"/>
          <w:lang w:val="uk-UA"/>
        </w:rPr>
        <w:t>4. Ефект змін в обліковій політиці, облікових оцінках та виправлення суттєвих помилок.</w:t>
      </w:r>
      <w:r w:rsidRPr="00DD262C">
        <w:rPr>
          <w:rFonts w:ascii="Times New Roman" w:hAnsi="Times New Roman" w:cs="Times New Roman"/>
          <w:kern w:val="28"/>
          <w:lang w:val="uk-UA"/>
        </w:rPr>
        <w:t xml:space="preserve"> </w:t>
      </w:r>
    </w:p>
    <w:p w:rsidR="00DD262C" w:rsidRPr="00DD262C" w:rsidRDefault="00DD262C" w:rsidP="00DD262C">
      <w:pPr>
        <w:ind w:firstLine="540"/>
        <w:jc w:val="both"/>
        <w:rPr>
          <w:rStyle w:val="29pt"/>
          <w:rFonts w:ascii="Times New Roman" w:hAnsi="Times New Roman" w:cs="Times New Roman"/>
          <w:b w:val="0"/>
          <w:sz w:val="24"/>
          <w:szCs w:val="22"/>
          <w:lang w:eastAsia="en-US" w:bidi="en-US"/>
        </w:rPr>
      </w:pPr>
      <w:r w:rsidRPr="00DD262C">
        <w:rPr>
          <w:rFonts w:ascii="Times New Roman" w:hAnsi="Times New Roman" w:cs="Times New Roman"/>
          <w:kern w:val="28"/>
          <w:lang w:val="uk-UA"/>
        </w:rPr>
        <w:t xml:space="preserve">В звітності за  2022 рік . виправлення  суттєвих помилок не здійснювалось. Облікова політика протягом року не змінювалася </w:t>
      </w:r>
    </w:p>
    <w:p w:rsidR="00DD262C" w:rsidRPr="00DD262C" w:rsidRDefault="00DD262C" w:rsidP="00DD262C">
      <w:pPr>
        <w:pStyle w:val="1"/>
        <w:numPr>
          <w:ilvl w:val="0"/>
          <w:numId w:val="0"/>
        </w:numPr>
        <w:tabs>
          <w:tab w:val="num" w:pos="3627"/>
        </w:tabs>
        <w:spacing w:before="0" w:after="0" w:line="360" w:lineRule="auto"/>
        <w:jc w:val="center"/>
        <w:rPr>
          <w:i/>
          <w:sz w:val="26"/>
          <w:szCs w:val="26"/>
        </w:rPr>
      </w:pPr>
      <w:r w:rsidRPr="00DD262C">
        <w:rPr>
          <w:i/>
          <w:sz w:val="26"/>
          <w:szCs w:val="26"/>
        </w:rPr>
        <w:t xml:space="preserve">5. </w:t>
      </w:r>
      <w:r w:rsidRPr="00DD262C">
        <w:rPr>
          <w:bCs/>
          <w:i/>
          <w:spacing w:val="-2"/>
          <w:sz w:val="26"/>
          <w:szCs w:val="26"/>
        </w:rPr>
        <w:t>Розкриття інформації щодо використання справедливої вартості</w:t>
      </w:r>
    </w:p>
    <w:p w:rsidR="00DD262C" w:rsidRPr="00DD262C" w:rsidRDefault="00DD262C" w:rsidP="00DD262C">
      <w:pPr>
        <w:shd w:val="clear" w:color="auto" w:fill="FFFFFF"/>
        <w:ind w:firstLine="709"/>
        <w:jc w:val="both"/>
        <w:rPr>
          <w:rFonts w:ascii="Times New Roman" w:hAnsi="Times New Roman" w:cs="Times New Roman"/>
          <w:szCs w:val="18"/>
          <w:lang w:val="uk-UA"/>
        </w:rPr>
      </w:pPr>
      <w:r w:rsidRPr="00DD262C">
        <w:rPr>
          <w:rFonts w:ascii="Times New Roman" w:hAnsi="Times New Roman" w:cs="Times New Roman"/>
          <w:b/>
          <w:bCs/>
          <w:i/>
          <w:spacing w:val="-2"/>
          <w:lang w:val="uk-UA"/>
        </w:rPr>
        <w:t xml:space="preserve">5.1. Методики оцінювання та вхідні дані, використані для складання оцінок </w:t>
      </w:r>
      <w:r w:rsidRPr="00DD262C">
        <w:rPr>
          <w:rFonts w:ascii="Times New Roman" w:hAnsi="Times New Roman" w:cs="Times New Roman"/>
          <w:b/>
          <w:bCs/>
          <w:i/>
          <w:lang w:val="uk-UA"/>
        </w:rPr>
        <w:t xml:space="preserve">за </w:t>
      </w:r>
      <w:r w:rsidRPr="00DD262C">
        <w:rPr>
          <w:rFonts w:ascii="Times New Roman" w:hAnsi="Times New Roman" w:cs="Times New Roman"/>
          <w:b/>
          <w:bCs/>
          <w:i/>
          <w:spacing w:val="-2"/>
          <w:lang w:val="uk-UA"/>
        </w:rPr>
        <w:t xml:space="preserve">справедливою вартістю. </w:t>
      </w:r>
      <w:r w:rsidRPr="00DD262C">
        <w:rPr>
          <w:rFonts w:ascii="Times New Roman" w:hAnsi="Times New Roman" w:cs="Times New Roman"/>
          <w:lang w:val="uk-UA"/>
        </w:rPr>
        <w:t>Товариство здійснює виключно безперервні оцінки справедливої вартості активів та зобов’язань, тобто такі оцінки, які вимагаються МСБО 39 та МСФЗ 13 у звіті про фінансовий стан на кінець кожного звітного періоду.</w:t>
      </w:r>
    </w:p>
    <w:p w:rsidR="00DD262C" w:rsidRPr="00DD262C" w:rsidRDefault="00DD262C" w:rsidP="00DD262C">
      <w:pPr>
        <w:shd w:val="clear" w:color="auto" w:fill="FFFFFF"/>
        <w:spacing w:line="360" w:lineRule="auto"/>
        <w:jc w:val="center"/>
        <w:rPr>
          <w:rFonts w:ascii="Times New Roman" w:hAnsi="Times New Roman" w:cs="Times New Roman"/>
          <w:b/>
          <w:bCs/>
          <w:i/>
          <w:spacing w:val="-2"/>
          <w:lang w:val="uk-UA"/>
        </w:rPr>
      </w:pPr>
      <w:r w:rsidRPr="00DD262C">
        <w:rPr>
          <w:rFonts w:ascii="Times New Roman" w:hAnsi="Times New Roman" w:cs="Times New Roman"/>
          <w:b/>
          <w:bCs/>
          <w:i/>
          <w:spacing w:val="-2"/>
          <w:lang w:val="uk-UA"/>
        </w:rPr>
        <w:t>5.2. Рівень ієрархії справедливої вартості, до якого належать оцінки справедливої вартості.</w:t>
      </w:r>
    </w:p>
    <w:p w:rsidR="00DD262C" w:rsidRPr="00DD262C" w:rsidRDefault="00DD262C" w:rsidP="00DD262C">
      <w:pPr>
        <w:shd w:val="clear" w:color="auto" w:fill="FFFFFF"/>
        <w:autoSpaceDE w:val="0"/>
        <w:autoSpaceDN w:val="0"/>
        <w:adjustRightInd w:val="0"/>
        <w:ind w:left="7799" w:firstLine="709"/>
        <w:jc w:val="both"/>
        <w:rPr>
          <w:rFonts w:ascii="Times New Roman" w:hAnsi="Times New Roman" w:cs="Times New Roman"/>
          <w:bCs/>
          <w:spacing w:val="-2"/>
          <w:lang w:val="uk-UA"/>
        </w:rPr>
      </w:pPr>
      <w:r w:rsidRPr="00DD262C">
        <w:rPr>
          <w:rFonts w:ascii="Times New Roman" w:hAnsi="Times New Roman" w:cs="Times New Roman"/>
          <w:bCs/>
          <w:spacing w:val="-2"/>
          <w:lang w:val="uk-UA"/>
        </w:rPr>
        <w:t>Таб.5.2</w:t>
      </w:r>
    </w:p>
    <w:tbl>
      <w:tblPr>
        <w:tblW w:w="10452" w:type="dxa"/>
        <w:tblInd w:w="-5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410"/>
        <w:gridCol w:w="992"/>
        <w:gridCol w:w="1054"/>
        <w:gridCol w:w="992"/>
        <w:gridCol w:w="992"/>
        <w:gridCol w:w="1035"/>
        <w:gridCol w:w="992"/>
        <w:gridCol w:w="993"/>
        <w:gridCol w:w="992"/>
      </w:tblGrid>
      <w:tr w:rsidR="00DD262C" w:rsidRPr="00DD262C" w:rsidTr="00B80E44">
        <w:tc>
          <w:tcPr>
            <w:tcW w:w="2410" w:type="dxa"/>
            <w:vMerge w:val="restart"/>
            <w:shd w:val="clear" w:color="auto" w:fill="0070C0"/>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bCs/>
                <w:i/>
                <w:color w:val="FFFFFF"/>
                <w:lang w:val="uk-UA"/>
              </w:rPr>
              <w:t>Класи активів та зобов’язань, оцінених за справедливою вартістю</w:t>
            </w:r>
          </w:p>
        </w:tc>
        <w:tc>
          <w:tcPr>
            <w:tcW w:w="2046"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lang w:val="uk-UA"/>
              </w:rPr>
            </w:pPr>
            <w:r w:rsidRPr="00DD262C">
              <w:rPr>
                <w:rFonts w:ascii="Times New Roman" w:hAnsi="Times New Roman" w:cs="Times New Roman"/>
                <w:b/>
                <w:bCs/>
                <w:i/>
                <w:color w:val="FFFFFF"/>
                <w:lang w:val="uk-UA"/>
              </w:rPr>
              <w:t>1 рівень</w:t>
            </w:r>
          </w:p>
          <w:p w:rsidR="00DD262C" w:rsidRPr="00DD262C" w:rsidRDefault="00DD262C" w:rsidP="00B80E44">
            <w:pPr>
              <w:autoSpaceDE w:val="0"/>
              <w:autoSpaceDN w:val="0"/>
              <w:adjustRightInd w:val="0"/>
              <w:jc w:val="center"/>
              <w:rPr>
                <w:rFonts w:ascii="Times New Roman" w:hAnsi="Times New Roman" w:cs="Times New Roman"/>
                <w:i/>
                <w:color w:val="FFFFFF"/>
                <w:lang w:val="uk-UA"/>
              </w:rPr>
            </w:pPr>
            <w:r w:rsidRPr="00DD262C">
              <w:rPr>
                <w:rFonts w:ascii="Times New Roman" w:hAnsi="Times New Roman" w:cs="Times New Roman"/>
                <w:i/>
                <w:color w:val="FFFFFF"/>
                <w:lang w:val="uk-UA"/>
              </w:rPr>
              <w:t>(ті, що мають котирування, та спостережувані)</w:t>
            </w:r>
          </w:p>
        </w:tc>
        <w:tc>
          <w:tcPr>
            <w:tcW w:w="1984"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lang w:val="uk-UA"/>
              </w:rPr>
            </w:pPr>
            <w:r w:rsidRPr="00DD262C">
              <w:rPr>
                <w:rFonts w:ascii="Times New Roman" w:hAnsi="Times New Roman" w:cs="Times New Roman"/>
                <w:b/>
                <w:bCs/>
                <w:i/>
                <w:color w:val="FFFFFF"/>
                <w:lang w:val="uk-UA"/>
              </w:rPr>
              <w:t>2 рівень</w:t>
            </w:r>
          </w:p>
          <w:p w:rsidR="00DD262C" w:rsidRPr="00DD262C" w:rsidRDefault="00DD262C" w:rsidP="00B80E44">
            <w:pPr>
              <w:autoSpaceDE w:val="0"/>
              <w:autoSpaceDN w:val="0"/>
              <w:adjustRightInd w:val="0"/>
              <w:jc w:val="center"/>
              <w:rPr>
                <w:rFonts w:ascii="Times New Roman" w:hAnsi="Times New Roman" w:cs="Times New Roman"/>
                <w:i/>
                <w:color w:val="FFFFFF"/>
                <w:lang w:val="uk-UA"/>
              </w:rPr>
            </w:pPr>
            <w:r w:rsidRPr="00DD262C">
              <w:rPr>
                <w:rFonts w:ascii="Times New Roman" w:hAnsi="Times New Roman" w:cs="Times New Roman"/>
                <w:i/>
                <w:color w:val="FFFFFF"/>
                <w:lang w:val="uk-UA"/>
              </w:rPr>
              <w:t>(ті, що не мають котирувань, але спостережувані)</w:t>
            </w:r>
          </w:p>
        </w:tc>
        <w:tc>
          <w:tcPr>
            <w:tcW w:w="2027"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lang w:val="uk-UA"/>
              </w:rPr>
            </w:pPr>
            <w:r w:rsidRPr="00DD262C">
              <w:rPr>
                <w:rFonts w:ascii="Times New Roman" w:hAnsi="Times New Roman" w:cs="Times New Roman"/>
                <w:b/>
                <w:bCs/>
                <w:i/>
                <w:color w:val="FFFFFF"/>
                <w:lang w:val="uk-UA"/>
              </w:rPr>
              <w:t>3 рівень</w:t>
            </w:r>
          </w:p>
          <w:p w:rsidR="00DD262C" w:rsidRPr="00DD262C" w:rsidRDefault="00DD262C" w:rsidP="00B80E44">
            <w:pPr>
              <w:autoSpaceDE w:val="0"/>
              <w:autoSpaceDN w:val="0"/>
              <w:adjustRightInd w:val="0"/>
              <w:jc w:val="center"/>
              <w:rPr>
                <w:rFonts w:ascii="Times New Roman" w:hAnsi="Times New Roman" w:cs="Times New Roman"/>
                <w:i/>
                <w:color w:val="FFFFFF"/>
                <w:lang w:val="uk-UA"/>
              </w:rPr>
            </w:pPr>
            <w:r w:rsidRPr="00DD262C">
              <w:rPr>
                <w:rFonts w:ascii="Times New Roman" w:hAnsi="Times New Roman" w:cs="Times New Roman"/>
                <w:i/>
                <w:color w:val="FFFFFF"/>
                <w:lang w:val="uk-UA"/>
              </w:rPr>
              <w:t>(ті, що не мають котирувань і не є спостережу-ваними)</w:t>
            </w:r>
          </w:p>
        </w:tc>
        <w:tc>
          <w:tcPr>
            <w:tcW w:w="1985"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Усього</w:t>
            </w:r>
          </w:p>
        </w:tc>
      </w:tr>
      <w:tr w:rsidR="00DD262C" w:rsidRPr="00DD262C" w:rsidTr="00B80E44">
        <w:tc>
          <w:tcPr>
            <w:tcW w:w="2410" w:type="dxa"/>
            <w:vMerge/>
            <w:shd w:val="clear" w:color="auto" w:fill="0070C0"/>
          </w:tcPr>
          <w:p w:rsidR="00DD262C" w:rsidRPr="00DD262C" w:rsidRDefault="00DD262C" w:rsidP="00B80E44">
            <w:pPr>
              <w:autoSpaceDE w:val="0"/>
              <w:autoSpaceDN w:val="0"/>
              <w:adjustRightInd w:val="0"/>
              <w:jc w:val="both"/>
              <w:rPr>
                <w:rFonts w:ascii="Times New Roman" w:hAnsi="Times New Roman" w:cs="Times New Roman"/>
                <w:i/>
                <w:color w:val="FFFFFF"/>
                <w:lang w:val="uk-UA"/>
              </w:rPr>
            </w:pPr>
          </w:p>
        </w:tc>
        <w:tc>
          <w:tcPr>
            <w:tcW w:w="992"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1054"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c>
          <w:tcPr>
            <w:tcW w:w="992"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992"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c>
          <w:tcPr>
            <w:tcW w:w="1035"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992"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c>
          <w:tcPr>
            <w:tcW w:w="993"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992"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Дата оцінки</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31.12.22</w:t>
            </w:r>
          </w:p>
        </w:tc>
        <w:tc>
          <w:tcPr>
            <w:tcW w:w="1054"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31.12.21</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31.12.22</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31.12.21</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31.12.22</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31.12.21</w:t>
            </w:r>
          </w:p>
        </w:tc>
        <w:tc>
          <w:tcPr>
            <w:tcW w:w="993"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31.12.22</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31.12.21</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Земельні ділянки у складі інвестиційна нерухомість</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4"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25 490,0</w:t>
            </w:r>
          </w:p>
        </w:tc>
        <w:tc>
          <w:tcPr>
            <w:tcW w:w="992" w:type="dxa"/>
            <w:shd w:val="clear" w:color="auto" w:fill="auto"/>
            <w:vAlign w:val="center"/>
          </w:tcPr>
          <w:p w:rsidR="00DD262C" w:rsidRPr="00DD262C" w:rsidRDefault="00DD262C" w:rsidP="00B80E44">
            <w:pPr>
              <w:shd w:val="clear" w:color="auto" w:fill="FFFFFF"/>
              <w:rPr>
                <w:rFonts w:ascii="Times New Roman" w:hAnsi="Times New Roman" w:cs="Times New Roman"/>
                <w:lang w:val="uk-UA"/>
              </w:rPr>
            </w:pPr>
            <w:r w:rsidRPr="00DD262C">
              <w:rPr>
                <w:rFonts w:ascii="Times New Roman" w:hAnsi="Times New Roman" w:cs="Times New Roman"/>
                <w:lang w:val="uk-UA"/>
              </w:rPr>
              <w:t>22 720,0</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25 490,0</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22720,0</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Нерухоме майно у складі інвестиційна нерухомість</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6 070,00</w:t>
            </w:r>
          </w:p>
        </w:tc>
        <w:tc>
          <w:tcPr>
            <w:tcW w:w="1054"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2420,00</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6 070,00</w:t>
            </w:r>
          </w:p>
        </w:tc>
        <w:tc>
          <w:tcPr>
            <w:tcW w:w="992"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2420,0</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Земельні ділянки у складі основних засобів</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4"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3190,0</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3190,0</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Нерухоме майно у складі основних засобів</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4" w:type="dxa"/>
            <w:shd w:val="clear" w:color="auto" w:fill="auto"/>
            <w:vAlign w:val="center"/>
          </w:tcPr>
          <w:p w:rsidR="00DD262C" w:rsidRPr="00DD262C" w:rsidRDefault="00DD262C" w:rsidP="00B80E44">
            <w:pPr>
              <w:shd w:val="clear" w:color="auto" w:fill="FFFFFF"/>
              <w:rPr>
                <w:rFonts w:ascii="Times New Roman" w:hAnsi="Times New Roman" w:cs="Times New Roman"/>
                <w:lang w:val="uk-UA"/>
              </w:rPr>
            </w:pPr>
            <w:r w:rsidRPr="00DD262C">
              <w:rPr>
                <w:rFonts w:ascii="Times New Roman" w:hAnsi="Times New Roman" w:cs="Times New Roman"/>
                <w:lang w:val="uk-UA"/>
              </w:rPr>
              <w:t xml:space="preserve"> 3190,0</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rPr>
                <w:rFonts w:ascii="Times New Roman" w:hAnsi="Times New Roman" w:cs="Times New Roman"/>
                <w:lang w:val="uk-UA"/>
              </w:rPr>
            </w:pPr>
            <w:r w:rsidRPr="00DD262C">
              <w:rPr>
                <w:rFonts w:ascii="Times New Roman" w:hAnsi="Times New Roman" w:cs="Times New Roman"/>
                <w:lang w:val="uk-UA"/>
              </w:rPr>
              <w:t xml:space="preserve"> 3190,0</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spacing w:val="-2"/>
                <w:lang w:val="uk-UA"/>
              </w:rPr>
              <w:t xml:space="preserve">Інвестиції доступні </w:t>
            </w:r>
            <w:r w:rsidRPr="00DD262C">
              <w:rPr>
                <w:rFonts w:ascii="Times New Roman" w:hAnsi="Times New Roman" w:cs="Times New Roman"/>
                <w:lang w:val="uk-UA"/>
              </w:rPr>
              <w:t>для продажу</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1054"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c>
          <w:tcPr>
            <w:tcW w:w="2410" w:type="dxa"/>
            <w:shd w:val="clear" w:color="auto" w:fill="auto"/>
            <w:vAlign w:val="center"/>
          </w:tcPr>
          <w:p w:rsidR="00DD262C" w:rsidRPr="00DD262C" w:rsidRDefault="00DD262C" w:rsidP="00B80E44">
            <w:pPr>
              <w:autoSpaceDE w:val="0"/>
              <w:autoSpaceDN w:val="0"/>
              <w:adjustRightInd w:val="0"/>
              <w:rPr>
                <w:rFonts w:ascii="Times New Roman" w:hAnsi="Times New Roman" w:cs="Times New Roman"/>
                <w:spacing w:val="-2"/>
                <w:lang w:val="uk-UA"/>
              </w:rPr>
            </w:pPr>
            <w:r w:rsidRPr="00DD262C">
              <w:rPr>
                <w:rFonts w:ascii="Times New Roman" w:hAnsi="Times New Roman" w:cs="Times New Roman"/>
                <w:spacing w:val="-2"/>
                <w:lang w:val="uk-UA"/>
              </w:rPr>
              <w:t>Інвестиції за справедливою вартістю</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1054"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35"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93"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c>
          <w:tcPr>
            <w:tcW w:w="992" w:type="dxa"/>
            <w:shd w:val="clear" w:color="auto" w:fill="auto"/>
            <w:vAlign w:val="center"/>
          </w:tcPr>
          <w:p w:rsidR="00DD262C" w:rsidRPr="00DD262C" w:rsidRDefault="00DD262C" w:rsidP="00B80E44">
            <w:pPr>
              <w:shd w:val="clear" w:color="auto" w:fill="FFFFFF"/>
              <w:jc w:val="center"/>
              <w:rPr>
                <w:rFonts w:ascii="Times New Roman" w:hAnsi="Times New Roman" w:cs="Times New Roman"/>
                <w:lang w:val="uk-UA"/>
              </w:rPr>
            </w:pPr>
            <w:r w:rsidRPr="00DD262C">
              <w:rPr>
                <w:rFonts w:ascii="Times New Roman" w:hAnsi="Times New Roman" w:cs="Times New Roman"/>
                <w:lang w:val="uk-UA"/>
              </w:rPr>
              <w:t>-</w:t>
            </w:r>
          </w:p>
        </w:tc>
      </w:tr>
    </w:tbl>
    <w:p w:rsidR="00DD262C" w:rsidRPr="00DD262C" w:rsidRDefault="00DD262C" w:rsidP="00DD262C">
      <w:pPr>
        <w:shd w:val="clear" w:color="auto" w:fill="FFFFFF"/>
        <w:jc w:val="both"/>
        <w:rPr>
          <w:rFonts w:ascii="Times New Roman" w:hAnsi="Times New Roman" w:cs="Times New Roman"/>
          <w:bCs/>
          <w:spacing w:val="-2"/>
          <w:lang w:val="uk-UA"/>
        </w:rPr>
      </w:pPr>
    </w:p>
    <w:p w:rsidR="00DD262C" w:rsidRPr="00DD262C" w:rsidRDefault="00DD262C" w:rsidP="00DD262C">
      <w:pPr>
        <w:shd w:val="clear" w:color="auto" w:fill="FFFFFF"/>
        <w:jc w:val="both"/>
        <w:rPr>
          <w:rFonts w:ascii="Times New Roman" w:hAnsi="Times New Roman" w:cs="Times New Roman"/>
          <w:b/>
          <w:bCs/>
          <w:i/>
          <w:spacing w:val="-2"/>
          <w:lang w:val="uk-UA"/>
        </w:rPr>
      </w:pPr>
      <w:r w:rsidRPr="00DD262C">
        <w:rPr>
          <w:rFonts w:ascii="Times New Roman" w:hAnsi="Times New Roman" w:cs="Times New Roman"/>
          <w:bCs/>
          <w:spacing w:val="-2"/>
          <w:lang w:val="uk-UA"/>
        </w:rPr>
        <w:t xml:space="preserve">У  2022 році переведень між рівнями ієрархії відбулися у розрізі переведення нерухомого майна у складі основних засобів до нерухомого майна </w:t>
      </w:r>
      <w:r w:rsidRPr="00DD262C">
        <w:rPr>
          <w:rFonts w:ascii="Times New Roman" w:hAnsi="Times New Roman" w:cs="Times New Roman"/>
          <w:lang w:val="uk-UA"/>
        </w:rPr>
        <w:t>у складі інвестиційна нерухомість</w:t>
      </w:r>
      <w:r w:rsidRPr="00DD262C">
        <w:rPr>
          <w:rFonts w:ascii="Times New Roman" w:hAnsi="Times New Roman" w:cs="Times New Roman"/>
          <w:bCs/>
          <w:spacing w:val="-2"/>
          <w:lang w:val="uk-UA"/>
        </w:rPr>
        <w:t>.</w:t>
      </w:r>
    </w:p>
    <w:p w:rsidR="00DD262C" w:rsidRPr="00DD262C" w:rsidRDefault="00DD262C" w:rsidP="00DD262C">
      <w:pPr>
        <w:shd w:val="clear" w:color="auto" w:fill="FFFFFF"/>
        <w:spacing w:line="360" w:lineRule="auto"/>
        <w:rPr>
          <w:rFonts w:ascii="Times New Roman" w:hAnsi="Times New Roman" w:cs="Times New Roman"/>
          <w:b/>
          <w:bCs/>
          <w:i/>
          <w:spacing w:val="-2"/>
          <w:lang w:val="uk-UA"/>
        </w:rPr>
      </w:pPr>
    </w:p>
    <w:p w:rsidR="00DD262C" w:rsidRPr="00DD262C" w:rsidRDefault="00DD262C" w:rsidP="00DD262C">
      <w:pPr>
        <w:shd w:val="clear" w:color="auto" w:fill="FFFFFF"/>
        <w:spacing w:line="360" w:lineRule="auto"/>
        <w:rPr>
          <w:rFonts w:ascii="Times New Roman" w:hAnsi="Times New Roman" w:cs="Times New Roman"/>
          <w:b/>
          <w:bCs/>
          <w:i/>
          <w:spacing w:val="-2"/>
          <w:lang w:val="uk-UA"/>
        </w:rPr>
      </w:pPr>
      <w:r w:rsidRPr="00DD262C">
        <w:rPr>
          <w:rFonts w:ascii="Times New Roman" w:hAnsi="Times New Roman" w:cs="Times New Roman"/>
          <w:b/>
          <w:bCs/>
          <w:i/>
          <w:spacing w:val="-2"/>
          <w:lang w:val="uk-UA"/>
        </w:rPr>
        <w:t>5.3. Інші розкриття, що вимагаються МСФЗ 13 «Оцінка  справедливої  вартості».</w:t>
      </w:r>
    </w:p>
    <w:p w:rsidR="00DD262C" w:rsidRPr="00DD262C" w:rsidRDefault="00DD262C" w:rsidP="00DD262C">
      <w:pPr>
        <w:shd w:val="clear" w:color="auto" w:fill="FFFFFF"/>
        <w:spacing w:line="360" w:lineRule="auto"/>
        <w:jc w:val="center"/>
        <w:rPr>
          <w:rFonts w:ascii="Times New Roman" w:hAnsi="Times New Roman" w:cs="Times New Roman"/>
          <w:bCs/>
          <w:spacing w:val="-2"/>
          <w:lang w:val="uk-UA"/>
        </w:rPr>
      </w:pPr>
      <w:r w:rsidRPr="00DD262C">
        <w:rPr>
          <w:rFonts w:ascii="Times New Roman" w:hAnsi="Times New Roman" w:cs="Times New Roman"/>
          <w:bCs/>
          <w:spacing w:val="-2"/>
          <w:lang w:val="uk-UA"/>
        </w:rPr>
        <w:t>Справедлива вартість фінансових інструментів в порівнянні з їх балансовою вартістю</w:t>
      </w:r>
    </w:p>
    <w:p w:rsidR="00DD262C" w:rsidRPr="00DD262C" w:rsidRDefault="00DD262C" w:rsidP="00DD262C">
      <w:pPr>
        <w:pStyle w:val="ac"/>
        <w:jc w:val="right"/>
        <w:rPr>
          <w:bCs/>
          <w:spacing w:val="-2"/>
          <w:lang w:val="uk-UA"/>
        </w:rPr>
      </w:pPr>
      <w:r w:rsidRPr="00DD262C">
        <w:rPr>
          <w:lang w:val="uk-UA"/>
        </w:rPr>
        <w:t>Таб.5.3.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510"/>
        <w:gridCol w:w="1135"/>
        <w:gridCol w:w="1078"/>
        <w:gridCol w:w="1059"/>
        <w:gridCol w:w="953"/>
      </w:tblGrid>
      <w:tr w:rsidR="00DD262C" w:rsidRPr="00DD262C" w:rsidTr="00B80E44">
        <w:trPr>
          <w:trHeight w:val="130"/>
          <w:jc w:val="center"/>
        </w:trPr>
        <w:tc>
          <w:tcPr>
            <w:tcW w:w="4510" w:type="dxa"/>
            <w:vMerge w:val="restart"/>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p>
        </w:tc>
        <w:tc>
          <w:tcPr>
            <w:tcW w:w="2213"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bCs/>
                <w:i/>
                <w:color w:val="FFFFFF"/>
                <w:lang w:val="uk-UA"/>
              </w:rPr>
              <w:t>Балансова вартість</w:t>
            </w:r>
          </w:p>
        </w:tc>
        <w:tc>
          <w:tcPr>
            <w:tcW w:w="2012"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bCs/>
                <w:i/>
                <w:color w:val="FFFFFF"/>
                <w:lang w:val="uk-UA"/>
              </w:rPr>
              <w:t>Справедлива вартість</w:t>
            </w:r>
          </w:p>
        </w:tc>
      </w:tr>
      <w:tr w:rsidR="00DD262C" w:rsidRPr="00DD262C" w:rsidTr="00B80E44">
        <w:trPr>
          <w:jc w:val="center"/>
        </w:trPr>
        <w:tc>
          <w:tcPr>
            <w:tcW w:w="4510" w:type="dxa"/>
            <w:vMerge/>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p>
        </w:tc>
        <w:tc>
          <w:tcPr>
            <w:tcW w:w="1135"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1078"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c>
          <w:tcPr>
            <w:tcW w:w="1059"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2022</w:t>
            </w:r>
          </w:p>
        </w:tc>
        <w:tc>
          <w:tcPr>
            <w:tcW w:w="953"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2021</w:t>
            </w:r>
          </w:p>
        </w:tc>
      </w:tr>
      <w:tr w:rsidR="00DD262C" w:rsidRPr="00DD262C" w:rsidTr="00B80E44">
        <w:trPr>
          <w:jc w:val="center"/>
        </w:trPr>
        <w:tc>
          <w:tcPr>
            <w:tcW w:w="4510"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1</w:t>
            </w:r>
          </w:p>
        </w:tc>
        <w:tc>
          <w:tcPr>
            <w:tcW w:w="1135"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2</w:t>
            </w:r>
          </w:p>
        </w:tc>
        <w:tc>
          <w:tcPr>
            <w:tcW w:w="1078"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3</w:t>
            </w:r>
          </w:p>
        </w:tc>
        <w:tc>
          <w:tcPr>
            <w:tcW w:w="1059"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4</w:t>
            </w:r>
          </w:p>
        </w:tc>
        <w:tc>
          <w:tcPr>
            <w:tcW w:w="953"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i/>
                <w:color w:val="FFFFFF"/>
                <w:lang w:val="uk-UA"/>
              </w:rPr>
              <w:t>5</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spacing w:val="-3"/>
                <w:lang w:val="uk-UA"/>
              </w:rPr>
              <w:t>Фінансові активи</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spacing w:val="-2"/>
                <w:lang w:val="uk-UA"/>
              </w:rPr>
              <w:t xml:space="preserve">Інвестиції доступні </w:t>
            </w:r>
            <w:r w:rsidRPr="00DD262C">
              <w:rPr>
                <w:rFonts w:ascii="Times New Roman" w:hAnsi="Times New Roman" w:cs="Times New Roman"/>
                <w:lang w:val="uk-UA"/>
              </w:rPr>
              <w:t>для продажу</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spacing w:val="-3"/>
                <w:lang w:val="uk-UA"/>
              </w:rPr>
            </w:pPr>
            <w:r w:rsidRPr="00DD262C">
              <w:rPr>
                <w:rFonts w:ascii="Times New Roman" w:hAnsi="Times New Roman" w:cs="Times New Roman"/>
                <w:spacing w:val="-3"/>
                <w:lang w:val="uk-UA"/>
              </w:rPr>
              <w:t>Інвестиції доступні за справедливою вартістю</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spacing w:val="-3"/>
                <w:lang w:val="uk-UA"/>
              </w:rPr>
              <w:t>Інша поточна дебі</w:t>
            </w:r>
            <w:r w:rsidRPr="00DD262C">
              <w:rPr>
                <w:rFonts w:ascii="Times New Roman" w:hAnsi="Times New Roman" w:cs="Times New Roman"/>
                <w:lang w:val="uk-UA"/>
              </w:rPr>
              <w:t>торська заборгованість</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5628,0</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7559,0</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5628,0</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7559,0</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spacing w:val="-2"/>
                <w:lang w:val="uk-UA"/>
              </w:rPr>
              <w:t xml:space="preserve">Грошові кошти та їх </w:t>
            </w:r>
            <w:r w:rsidRPr="00DD262C">
              <w:rPr>
                <w:rFonts w:ascii="Times New Roman" w:hAnsi="Times New Roman" w:cs="Times New Roman"/>
                <w:lang w:val="uk-UA"/>
              </w:rPr>
              <w:t>еквіваленти</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6 943</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4929,0</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6 943</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4929,0</w:t>
            </w:r>
          </w:p>
        </w:tc>
      </w:tr>
      <w:tr w:rsidR="00DD262C" w:rsidRPr="00DD262C" w:rsidTr="00B80E44">
        <w:trPr>
          <w:jc w:val="center"/>
        </w:trPr>
        <w:tc>
          <w:tcPr>
            <w:tcW w:w="4510" w:type="dxa"/>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spacing w:val="-2"/>
                <w:lang w:val="uk-UA"/>
              </w:rPr>
              <w:t>Торгівельна кредиторська заборго</w:t>
            </w:r>
            <w:r w:rsidRPr="00DD262C">
              <w:rPr>
                <w:rFonts w:ascii="Times New Roman" w:hAnsi="Times New Roman" w:cs="Times New Roman"/>
                <w:lang w:val="uk-UA"/>
              </w:rPr>
              <w:t>ваність</w:t>
            </w:r>
          </w:p>
        </w:tc>
        <w:tc>
          <w:tcPr>
            <w:tcW w:w="1135"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430,0</w:t>
            </w:r>
          </w:p>
        </w:tc>
        <w:tc>
          <w:tcPr>
            <w:tcW w:w="1078"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828,0</w:t>
            </w:r>
          </w:p>
        </w:tc>
        <w:tc>
          <w:tcPr>
            <w:tcW w:w="1059"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430,0</w:t>
            </w:r>
          </w:p>
        </w:tc>
        <w:tc>
          <w:tcPr>
            <w:tcW w:w="953" w:type="dxa"/>
            <w:vAlign w:val="center"/>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828,0</w:t>
            </w:r>
          </w:p>
        </w:tc>
      </w:tr>
    </w:tbl>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Керівництво Товариства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інформація, щодо застосування справедливої вартості, яка може бути корисною для користувачів фінансової звітності. Додаткову інформацію, щодо змін справедливої вартості фінансових активів в зв’язку з врахуванням ризиків наведено у прим. 6.15.</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b/>
          <w:i/>
          <w:sz w:val="26"/>
          <w:szCs w:val="26"/>
          <w:lang w:val="uk-UA"/>
        </w:rPr>
      </w:pPr>
      <w:r w:rsidRPr="00DD262C">
        <w:rPr>
          <w:rFonts w:ascii="Times New Roman" w:hAnsi="Times New Roman" w:cs="Times New Roman"/>
          <w:b/>
          <w:i/>
          <w:sz w:val="26"/>
          <w:szCs w:val="26"/>
          <w:lang w:val="uk-UA"/>
        </w:rPr>
        <w:t>6. Розкриття інформації, що підтверджує статті подані у фінансових звітах.</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b/>
          <w:lang w:val="uk-UA"/>
        </w:rPr>
      </w:pPr>
      <w:r w:rsidRPr="00DD262C">
        <w:rPr>
          <w:rFonts w:ascii="Times New Roman" w:hAnsi="Times New Roman" w:cs="Times New Roman"/>
          <w:i/>
          <w:lang w:val="uk-UA"/>
        </w:rPr>
        <w:t>1. Основні засоби та нематеріальні активи</w:t>
      </w:r>
      <w:r w:rsidRPr="00DD262C">
        <w:rPr>
          <w:rFonts w:ascii="Times New Roman" w:hAnsi="Times New Roman" w:cs="Times New Roman"/>
          <w:lang w:val="uk-UA"/>
        </w:rPr>
        <w:t xml:space="preserve">                                 </w:t>
      </w:r>
      <w:r w:rsidRPr="00DD262C">
        <w:rPr>
          <w:rFonts w:ascii="Times New Roman" w:hAnsi="Times New Roman" w:cs="Times New Roman"/>
          <w:b/>
          <w:lang w:val="uk-UA"/>
        </w:rPr>
        <w:t>Таб.6.1 (тис. грн.)</w:t>
      </w:r>
    </w:p>
    <w:tbl>
      <w:tblPr>
        <w:tblpPr w:leftFromText="180" w:rightFromText="180" w:vertAnchor="text" w:horzAnchor="margin" w:tblpXSpec="center" w:tblpY="-131"/>
        <w:tblW w:w="1108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000" w:firstRow="0" w:lastRow="0" w:firstColumn="0" w:lastColumn="0" w:noHBand="0" w:noVBand="0"/>
      </w:tblPr>
      <w:tblGrid>
        <w:gridCol w:w="563"/>
        <w:gridCol w:w="1559"/>
        <w:gridCol w:w="1134"/>
        <w:gridCol w:w="992"/>
        <w:gridCol w:w="1134"/>
        <w:gridCol w:w="1134"/>
        <w:gridCol w:w="1133"/>
        <w:gridCol w:w="11"/>
        <w:gridCol w:w="840"/>
        <w:gridCol w:w="22"/>
        <w:gridCol w:w="545"/>
        <w:gridCol w:w="22"/>
        <w:gridCol w:w="830"/>
        <w:gridCol w:w="22"/>
        <w:gridCol w:w="1109"/>
        <w:gridCol w:w="33"/>
      </w:tblGrid>
      <w:tr w:rsidR="00DD262C" w:rsidRPr="00DD262C" w:rsidTr="00B80E44">
        <w:trPr>
          <w:cantSplit/>
          <w:trHeight w:val="1690"/>
        </w:trPr>
        <w:tc>
          <w:tcPr>
            <w:tcW w:w="563" w:type="dxa"/>
            <w:tcBorders>
              <w:top w:val="single" w:sz="4" w:space="0" w:color="auto"/>
              <w:left w:val="single" w:sz="4"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Рядок</w:t>
            </w:r>
          </w:p>
        </w:tc>
        <w:tc>
          <w:tcPr>
            <w:tcW w:w="1559" w:type="dxa"/>
            <w:tcBorders>
              <w:top w:val="single" w:sz="4" w:space="0" w:color="auto"/>
            </w:tcBorders>
            <w:shd w:val="clear" w:color="auto" w:fill="3366FF"/>
            <w:vAlign w:val="bottom"/>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Найменування статті</w:t>
            </w:r>
          </w:p>
          <w:p w:rsidR="00DD262C" w:rsidRPr="00DD262C" w:rsidRDefault="00DD262C" w:rsidP="00B80E44">
            <w:pPr>
              <w:jc w:val="center"/>
              <w:rPr>
                <w:rFonts w:ascii="Times New Roman" w:hAnsi="Times New Roman" w:cs="Times New Roman"/>
                <w:b/>
                <w:bCs/>
                <w:color w:val="FFFFFF"/>
                <w:sz w:val="18"/>
                <w:szCs w:val="18"/>
                <w:lang w:val="uk-UA"/>
              </w:rPr>
            </w:pPr>
          </w:p>
          <w:p w:rsidR="00DD262C" w:rsidRPr="00DD262C" w:rsidRDefault="00DD262C" w:rsidP="00B80E44">
            <w:pPr>
              <w:jc w:val="center"/>
              <w:rPr>
                <w:rFonts w:ascii="Times New Roman" w:hAnsi="Times New Roman" w:cs="Times New Roman"/>
                <w:b/>
                <w:bCs/>
                <w:color w:val="FFFFFF"/>
                <w:sz w:val="18"/>
                <w:szCs w:val="18"/>
                <w:lang w:val="uk-UA"/>
              </w:rPr>
            </w:pPr>
          </w:p>
          <w:p w:rsidR="00DD262C" w:rsidRPr="00DD262C" w:rsidRDefault="00DD262C" w:rsidP="00B80E44">
            <w:pPr>
              <w:jc w:val="center"/>
              <w:rPr>
                <w:rFonts w:ascii="Times New Roman" w:hAnsi="Times New Roman" w:cs="Times New Roman"/>
                <w:b/>
                <w:bCs/>
                <w:color w:val="FFFFFF"/>
                <w:sz w:val="18"/>
                <w:szCs w:val="18"/>
                <w:lang w:val="uk-UA"/>
              </w:rPr>
            </w:pPr>
          </w:p>
          <w:p w:rsidR="00DD262C" w:rsidRPr="00DD262C" w:rsidRDefault="00DD262C" w:rsidP="00B80E44">
            <w:pPr>
              <w:jc w:val="center"/>
              <w:rPr>
                <w:rFonts w:ascii="Times New Roman" w:hAnsi="Times New Roman" w:cs="Times New Roman"/>
                <w:b/>
                <w:bCs/>
                <w:color w:val="FFFFFF"/>
                <w:sz w:val="18"/>
                <w:szCs w:val="18"/>
                <w:lang w:val="uk-UA"/>
              </w:rPr>
            </w:pPr>
          </w:p>
          <w:p w:rsidR="00DD262C" w:rsidRPr="00DD262C" w:rsidRDefault="00DD262C" w:rsidP="00B80E44">
            <w:pPr>
              <w:jc w:val="center"/>
              <w:rPr>
                <w:rFonts w:ascii="Times New Roman" w:hAnsi="Times New Roman" w:cs="Times New Roman"/>
                <w:b/>
                <w:bCs/>
                <w:color w:val="FFFFFF"/>
                <w:sz w:val="18"/>
                <w:szCs w:val="18"/>
                <w:lang w:val="uk-UA"/>
              </w:rPr>
            </w:pPr>
          </w:p>
        </w:tc>
        <w:tc>
          <w:tcPr>
            <w:tcW w:w="1134" w:type="dxa"/>
            <w:tcBorders>
              <w:top w:val="single" w:sz="4" w:space="0" w:color="auto"/>
            </w:tcBorders>
            <w:shd w:val="clear" w:color="auto" w:fill="3366FF"/>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Земельні ділянки</w:t>
            </w:r>
          </w:p>
        </w:tc>
        <w:tc>
          <w:tcPr>
            <w:tcW w:w="992" w:type="dxa"/>
            <w:tcBorders>
              <w:top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Будівлі, споруди та передавальні пристрої</w:t>
            </w:r>
          </w:p>
        </w:tc>
        <w:tc>
          <w:tcPr>
            <w:tcW w:w="1134" w:type="dxa"/>
            <w:tcBorders>
              <w:top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Машини та обладнання</w:t>
            </w:r>
          </w:p>
        </w:tc>
        <w:tc>
          <w:tcPr>
            <w:tcW w:w="1134" w:type="dxa"/>
            <w:tcBorders>
              <w:top w:val="single" w:sz="4" w:space="0" w:color="auto"/>
            </w:tcBorders>
            <w:shd w:val="clear" w:color="auto" w:fill="3366FF"/>
            <w:vAlign w:val="center"/>
          </w:tcPr>
          <w:p w:rsidR="00DD262C" w:rsidRPr="00DD262C" w:rsidRDefault="00DD262C" w:rsidP="00B80E44">
            <w:pPr>
              <w:ind w:right="-342" w:firstLine="88"/>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Транспортні засоби</w:t>
            </w:r>
          </w:p>
        </w:tc>
        <w:tc>
          <w:tcPr>
            <w:tcW w:w="1144" w:type="dxa"/>
            <w:gridSpan w:val="2"/>
            <w:tcBorders>
              <w:top w:val="single" w:sz="4" w:space="0" w:color="auto"/>
            </w:tcBorders>
            <w:shd w:val="clear" w:color="auto" w:fill="3366FF"/>
            <w:vAlign w:val="center"/>
          </w:tcPr>
          <w:p w:rsidR="00DD262C" w:rsidRPr="00DD262C" w:rsidRDefault="00DD262C" w:rsidP="00B80E44">
            <w:pPr>
              <w:ind w:left="-65" w:hanging="9"/>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Інструменти, прилади, інвентар (меблі)</w:t>
            </w:r>
          </w:p>
        </w:tc>
        <w:tc>
          <w:tcPr>
            <w:tcW w:w="862" w:type="dxa"/>
            <w:gridSpan w:val="2"/>
            <w:tcBorders>
              <w:top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Інші основні засоби</w:t>
            </w:r>
          </w:p>
        </w:tc>
        <w:tc>
          <w:tcPr>
            <w:tcW w:w="567" w:type="dxa"/>
            <w:gridSpan w:val="2"/>
            <w:tcBorders>
              <w:top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Інші необоротні матеріальні активи</w:t>
            </w:r>
          </w:p>
        </w:tc>
        <w:tc>
          <w:tcPr>
            <w:tcW w:w="852" w:type="dxa"/>
            <w:gridSpan w:val="2"/>
            <w:tcBorders>
              <w:top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Нематеріальні активи</w:t>
            </w:r>
          </w:p>
        </w:tc>
        <w:tc>
          <w:tcPr>
            <w:tcW w:w="1142" w:type="dxa"/>
            <w:gridSpan w:val="2"/>
            <w:tcBorders>
              <w:top w:val="single" w:sz="4" w:space="0" w:color="auto"/>
              <w:right w:val="single" w:sz="4" w:space="0" w:color="auto"/>
            </w:tcBorders>
            <w:shd w:val="clear" w:color="auto" w:fill="3366FF"/>
            <w:vAlign w:val="center"/>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Усього</w:t>
            </w:r>
          </w:p>
        </w:tc>
      </w:tr>
      <w:tr w:rsidR="00DD262C" w:rsidRPr="00DD262C" w:rsidTr="00B80E44">
        <w:trPr>
          <w:gridAfter w:val="1"/>
          <w:wAfter w:w="33" w:type="dxa"/>
        </w:trPr>
        <w:tc>
          <w:tcPr>
            <w:tcW w:w="563" w:type="dxa"/>
            <w:tcBorders>
              <w:top w:val="single" w:sz="12" w:space="0" w:color="auto"/>
              <w:left w:val="single" w:sz="4"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1</w:t>
            </w:r>
          </w:p>
        </w:tc>
        <w:tc>
          <w:tcPr>
            <w:tcW w:w="1559" w:type="dxa"/>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2</w:t>
            </w:r>
          </w:p>
        </w:tc>
        <w:tc>
          <w:tcPr>
            <w:tcW w:w="1134" w:type="dxa"/>
            <w:tcBorders>
              <w:top w:val="single" w:sz="12" w:space="0" w:color="auto"/>
              <w:left w:val="single" w:sz="12" w:space="0" w:color="auto"/>
              <w:bottom w:val="single" w:sz="12" w:space="0" w:color="auto"/>
              <w:right w:val="single" w:sz="12" w:space="0" w:color="auto"/>
            </w:tcBorders>
            <w:shd w:val="clear" w:color="auto" w:fill="3366FF"/>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3</w:t>
            </w:r>
          </w:p>
        </w:tc>
        <w:tc>
          <w:tcPr>
            <w:tcW w:w="992" w:type="dxa"/>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4</w:t>
            </w:r>
          </w:p>
        </w:tc>
        <w:tc>
          <w:tcPr>
            <w:tcW w:w="1134" w:type="dxa"/>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5</w:t>
            </w:r>
          </w:p>
        </w:tc>
        <w:tc>
          <w:tcPr>
            <w:tcW w:w="1134" w:type="dxa"/>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6</w:t>
            </w:r>
          </w:p>
        </w:tc>
        <w:tc>
          <w:tcPr>
            <w:tcW w:w="1133" w:type="dxa"/>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7</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8</w:t>
            </w:r>
          </w:p>
        </w:tc>
        <w:tc>
          <w:tcPr>
            <w:tcW w:w="567"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9</w:t>
            </w:r>
          </w:p>
        </w:tc>
        <w:tc>
          <w:tcPr>
            <w:tcW w:w="852" w:type="dxa"/>
            <w:gridSpan w:val="2"/>
            <w:tcBorders>
              <w:top w:val="single" w:sz="12" w:space="0" w:color="auto"/>
              <w:left w:val="single" w:sz="12" w:space="0" w:color="auto"/>
              <w:bottom w:val="single" w:sz="12" w:space="0" w:color="auto"/>
              <w:right w:val="single" w:sz="12" w:space="0" w:color="auto"/>
            </w:tcBorders>
            <w:shd w:val="clear" w:color="auto" w:fill="3366FF"/>
            <w:vAlign w:val="bottom"/>
          </w:tcPr>
          <w:p w:rsidR="00DD262C" w:rsidRPr="00DD262C" w:rsidRDefault="00DD262C" w:rsidP="00B80E44">
            <w:pPr>
              <w:jc w:val="center"/>
              <w:rPr>
                <w:rFonts w:ascii="Times New Roman" w:hAnsi="Times New Roman" w:cs="Times New Roman"/>
                <w:b/>
                <w:color w:val="FFFFFF"/>
                <w:sz w:val="18"/>
                <w:szCs w:val="18"/>
                <w:lang w:val="uk-UA"/>
              </w:rPr>
            </w:pPr>
            <w:r w:rsidRPr="00DD262C">
              <w:rPr>
                <w:rFonts w:ascii="Times New Roman" w:hAnsi="Times New Roman" w:cs="Times New Roman"/>
                <w:b/>
                <w:color w:val="FFFFFF"/>
                <w:sz w:val="18"/>
                <w:szCs w:val="18"/>
                <w:lang w:val="uk-UA"/>
              </w:rPr>
              <w:t>10</w:t>
            </w:r>
          </w:p>
        </w:tc>
        <w:tc>
          <w:tcPr>
            <w:tcW w:w="1131" w:type="dxa"/>
            <w:gridSpan w:val="2"/>
            <w:tcBorders>
              <w:top w:val="single" w:sz="12" w:space="0" w:color="auto"/>
              <w:left w:val="single" w:sz="12" w:space="0" w:color="auto"/>
              <w:bottom w:val="single" w:sz="12" w:space="0" w:color="auto"/>
              <w:right w:val="single" w:sz="4" w:space="0" w:color="auto"/>
            </w:tcBorders>
            <w:shd w:val="clear" w:color="auto" w:fill="3366FF"/>
            <w:vAlign w:val="bottom"/>
          </w:tcPr>
          <w:p w:rsidR="00DD262C" w:rsidRPr="00DD262C" w:rsidRDefault="00DD262C" w:rsidP="00B80E44">
            <w:pPr>
              <w:jc w:val="center"/>
              <w:rPr>
                <w:rFonts w:ascii="Times New Roman" w:hAnsi="Times New Roman" w:cs="Times New Roman"/>
                <w:b/>
                <w:bCs/>
                <w:color w:val="FFFFFF"/>
                <w:sz w:val="18"/>
                <w:szCs w:val="18"/>
                <w:lang w:val="uk-UA"/>
              </w:rPr>
            </w:pPr>
            <w:r w:rsidRPr="00DD262C">
              <w:rPr>
                <w:rFonts w:ascii="Times New Roman" w:hAnsi="Times New Roman" w:cs="Times New Roman"/>
                <w:b/>
                <w:bCs/>
                <w:color w:val="FFFFFF"/>
                <w:sz w:val="18"/>
                <w:szCs w:val="18"/>
                <w:lang w:val="uk-UA"/>
              </w:rPr>
              <w:t>11</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46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Балансова вартість на 1 січня 2022 року:</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3090,00</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3190,0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4075,0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69,1</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17,9</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6,9</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129,1</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10578,0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Первісна (переоцінена) вартість</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3090,00</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3190,0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12662,5</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1029,2</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166,0</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133,5</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133,5</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20407,0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1.2</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Знос на 1 січня 2022 року</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992"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8587,5</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960,1</w:t>
            </w:r>
          </w:p>
        </w:tc>
        <w:tc>
          <w:tcPr>
            <w:tcW w:w="1133"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148,1</w:t>
            </w:r>
          </w:p>
        </w:tc>
        <w:tc>
          <w:tcPr>
            <w:tcW w:w="851" w:type="dxa"/>
            <w:gridSpan w:val="2"/>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126,6</w:t>
            </w:r>
          </w:p>
        </w:tc>
        <w:tc>
          <w:tcPr>
            <w:tcW w:w="567" w:type="dxa"/>
            <w:gridSpan w:val="2"/>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6,7</w:t>
            </w:r>
          </w:p>
        </w:tc>
        <w:tc>
          <w:tcPr>
            <w:tcW w:w="1131" w:type="dxa"/>
            <w:gridSpan w:val="2"/>
            <w:tcBorders>
              <w:top w:val="single" w:sz="12" w:space="0" w:color="auto"/>
              <w:left w:val="nil"/>
              <w:bottom w:val="single" w:sz="4"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9822,0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2</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Надходження</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131,0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88,2</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219,2</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795"/>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3</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Поліпшення основних засобів та вдосконалення нематеріальних активів</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354,0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354,0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4</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Передавання</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4.1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Вибуття</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5</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Амортизаційні відрахування</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both"/>
              <w:rPr>
                <w:rFonts w:ascii="Times New Roman" w:hAnsi="Times New Roman" w:cs="Times New Roman"/>
                <w:sz w:val="18"/>
                <w:szCs w:val="18"/>
                <w:lang w:val="uk-UA"/>
              </w:rPr>
            </w:pPr>
          </w:p>
          <w:p w:rsidR="00DD262C" w:rsidRPr="00DD262C" w:rsidRDefault="00DD262C" w:rsidP="00B80E44">
            <w:pPr>
              <w:jc w:val="both"/>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 xml:space="preserve">    549,1</w:t>
            </w: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both"/>
              <w:rPr>
                <w:rFonts w:ascii="Times New Roman" w:hAnsi="Times New Roman" w:cs="Times New Roman"/>
                <w:sz w:val="18"/>
                <w:szCs w:val="18"/>
                <w:lang w:val="uk-UA"/>
              </w:rPr>
            </w:pPr>
          </w:p>
          <w:p w:rsidR="00DD262C" w:rsidRPr="00DD262C" w:rsidRDefault="00DD262C" w:rsidP="00B80E44">
            <w:pPr>
              <w:jc w:val="both"/>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12,3</w:t>
            </w:r>
          </w:p>
        </w:tc>
        <w:tc>
          <w:tcPr>
            <w:tcW w:w="1133"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both"/>
              <w:rPr>
                <w:rFonts w:ascii="Times New Roman" w:hAnsi="Times New Roman" w:cs="Times New Roman"/>
                <w:color w:val="000000"/>
                <w:sz w:val="18"/>
                <w:szCs w:val="18"/>
                <w:lang w:val="uk-UA"/>
              </w:rPr>
            </w:pPr>
          </w:p>
        </w:tc>
        <w:tc>
          <w:tcPr>
            <w:tcW w:w="851"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both"/>
              <w:rPr>
                <w:rFonts w:ascii="Times New Roman" w:hAnsi="Times New Roman" w:cs="Times New Roman"/>
                <w:sz w:val="18"/>
                <w:szCs w:val="18"/>
                <w:lang w:val="uk-UA"/>
              </w:rPr>
            </w:pPr>
          </w:p>
          <w:p w:rsidR="00DD262C" w:rsidRPr="00DD262C" w:rsidRDefault="00DD262C" w:rsidP="00B80E44">
            <w:pPr>
              <w:jc w:val="both"/>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16,5</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both"/>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862,0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105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6</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Відображення величини втрат від зменшення корисності, визначених у фінансових результатах</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7</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Переоцінка</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0</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0 </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7.1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Переоцінка первісної вартості</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0</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
                <w:bCs/>
                <w:color w:val="000000"/>
                <w:sz w:val="18"/>
                <w:szCs w:val="18"/>
                <w:lang w:val="uk-UA"/>
              </w:rPr>
              <w:t>0</w:t>
            </w:r>
            <w:r w:rsidRPr="00DD262C">
              <w:rPr>
                <w:rFonts w:ascii="Times New Roman" w:hAnsi="Times New Roman" w:cs="Times New Roman"/>
                <w:color w:val="000000"/>
                <w:sz w:val="18"/>
                <w:szCs w:val="18"/>
                <w:lang w:val="uk-UA"/>
              </w:rPr>
              <w:t> </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7.2</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Переоцінка зносу</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33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8</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Коригування ОЗ на Інвестиційну нерухомість</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r w:rsidRPr="00DD262C">
              <w:rPr>
                <w:rFonts w:ascii="Times New Roman" w:hAnsi="Times New Roman" w:cs="Times New Roman"/>
                <w:b/>
                <w:bCs/>
                <w:color w:val="000000"/>
                <w:sz w:val="18"/>
                <w:szCs w:val="18"/>
                <w:lang w:val="uk-UA"/>
              </w:rPr>
              <w:t>- 3090,00</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-3190</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 </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8.1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Коригування зносу ОЗ на знос МБП</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992"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bCs/>
                <w:color w:val="000000"/>
                <w:sz w:val="18"/>
                <w:szCs w:val="18"/>
                <w:lang w:val="uk-UA"/>
              </w:rPr>
              <w:t>-</w:t>
            </w:r>
          </w:p>
        </w:tc>
        <w:tc>
          <w:tcPr>
            <w:tcW w:w="1133"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851"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567"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852" w:type="dxa"/>
            <w:gridSpan w:val="2"/>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1131" w:type="dxa"/>
            <w:gridSpan w:val="2"/>
            <w:tcBorders>
              <w:top w:val="nil"/>
              <w:left w:val="nil"/>
              <w:bottom w:val="single" w:sz="12" w:space="0" w:color="auto"/>
              <w:right w:val="single" w:sz="4"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9</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Балансова вартість на 31 грудня  2022року:</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Cs/>
                <w:color w:val="000000"/>
                <w:sz w:val="18"/>
                <w:szCs w:val="18"/>
                <w:lang w:val="uk-UA"/>
              </w:rPr>
            </w:pPr>
            <w:r w:rsidRPr="00DD262C">
              <w:rPr>
                <w:rFonts w:ascii="Times New Roman" w:hAnsi="Times New Roman" w:cs="Times New Roman"/>
                <w:bCs/>
                <w:color w:val="000000"/>
                <w:sz w:val="18"/>
                <w:szCs w:val="18"/>
                <w:lang w:val="uk-UA"/>
              </w:rPr>
              <w:t>4014,9</w:t>
            </w: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b/>
                <w:bCs/>
                <w:color w:val="000000"/>
                <w:sz w:val="18"/>
                <w:szCs w:val="18"/>
                <w:lang w:val="uk-UA"/>
              </w:rPr>
            </w:pPr>
          </w:p>
          <w:p w:rsidR="00DD262C" w:rsidRPr="00DD262C" w:rsidRDefault="00DD262C" w:rsidP="00B80E44">
            <w:pPr>
              <w:jc w:val="center"/>
              <w:rPr>
                <w:rFonts w:ascii="Times New Roman" w:hAnsi="Times New Roman" w:cs="Times New Roman"/>
                <w:bCs/>
                <w:color w:val="000000"/>
                <w:sz w:val="18"/>
                <w:szCs w:val="18"/>
                <w:lang w:val="uk-UA"/>
              </w:rPr>
            </w:pPr>
            <w:r w:rsidRPr="00DD262C">
              <w:rPr>
                <w:rFonts w:ascii="Times New Roman" w:hAnsi="Times New Roman" w:cs="Times New Roman"/>
                <w:bCs/>
                <w:color w:val="000000"/>
                <w:sz w:val="18"/>
                <w:szCs w:val="18"/>
                <w:lang w:val="uk-UA"/>
              </w:rPr>
              <w:t>56,8</w:t>
            </w:r>
          </w:p>
        </w:tc>
        <w:tc>
          <w:tcPr>
            <w:tcW w:w="1133" w:type="dxa"/>
            <w:tcBorders>
              <w:top w:val="nil"/>
              <w:left w:val="nil"/>
              <w:bottom w:val="single" w:sz="12" w:space="0" w:color="auto"/>
              <w:right w:val="single" w:sz="12" w:space="0" w:color="auto"/>
            </w:tcBorders>
            <w:shd w:val="clear" w:color="auto" w:fill="auto"/>
            <w:hideMark/>
          </w:tcPr>
          <w:p w:rsidR="00DD262C" w:rsidRPr="00DD262C" w:rsidRDefault="00DD262C" w:rsidP="00B80E44">
            <w:pPr>
              <w:rPr>
                <w:rFonts w:ascii="Times New Roman" w:hAnsi="Times New Roman" w:cs="Times New Roman"/>
                <w:sz w:val="18"/>
                <w:szCs w:val="18"/>
                <w:lang w:val="uk-UA"/>
              </w:rPr>
            </w:pPr>
          </w:p>
          <w:p w:rsidR="00DD262C" w:rsidRPr="00DD262C" w:rsidRDefault="00DD262C" w:rsidP="00B80E44">
            <w:pP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149,5</w:t>
            </w:r>
          </w:p>
        </w:tc>
        <w:tc>
          <w:tcPr>
            <w:tcW w:w="851"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165</w:t>
            </w:r>
          </w:p>
        </w:tc>
        <w:tc>
          <w:tcPr>
            <w:tcW w:w="567"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0</w:t>
            </w:r>
          </w:p>
        </w:tc>
        <w:tc>
          <w:tcPr>
            <w:tcW w:w="852"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135,8</w:t>
            </w:r>
          </w:p>
        </w:tc>
        <w:tc>
          <w:tcPr>
            <w:tcW w:w="1131" w:type="dxa"/>
            <w:gridSpan w:val="2"/>
            <w:tcBorders>
              <w:top w:val="nil"/>
              <w:left w:val="nil"/>
              <w:bottom w:val="single" w:sz="12" w:space="0" w:color="auto"/>
              <w:right w:val="single" w:sz="4"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4382,0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nil"/>
              <w:left w:val="single" w:sz="4" w:space="0" w:color="auto"/>
              <w:bottom w:val="single" w:sz="12"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9.1</w:t>
            </w:r>
          </w:p>
        </w:tc>
        <w:tc>
          <w:tcPr>
            <w:tcW w:w="1559"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Первісна (переоцінена) вартість</w:t>
            </w:r>
          </w:p>
        </w:tc>
        <w:tc>
          <w:tcPr>
            <w:tcW w:w="1134" w:type="dxa"/>
            <w:tcBorders>
              <w:top w:val="nil"/>
              <w:left w:val="nil"/>
              <w:bottom w:val="single" w:sz="12" w:space="0" w:color="auto"/>
              <w:right w:val="single" w:sz="12" w:space="0" w:color="auto"/>
            </w:tcBorders>
            <w:shd w:val="clear" w:color="auto" w:fill="auto"/>
            <w:vAlign w:val="center"/>
            <w:hideMark/>
          </w:tcPr>
          <w:p w:rsidR="00DD262C" w:rsidRPr="00DD262C" w:rsidRDefault="00DD262C" w:rsidP="00B80E44">
            <w:pPr>
              <w:jc w:val="right"/>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w:t>
            </w:r>
          </w:p>
        </w:tc>
        <w:tc>
          <w:tcPr>
            <w:tcW w:w="992" w:type="dxa"/>
            <w:tcBorders>
              <w:top w:val="nil"/>
              <w:left w:val="nil"/>
              <w:bottom w:val="single" w:sz="12"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color w:val="000000"/>
                <w:sz w:val="18"/>
                <w:szCs w:val="18"/>
                <w:lang w:val="uk-UA"/>
              </w:rPr>
            </w:pP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color w:val="000000"/>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12997,5</w:t>
            </w:r>
          </w:p>
        </w:tc>
        <w:tc>
          <w:tcPr>
            <w:tcW w:w="1134"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color w:val="000000"/>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1029,2</w:t>
            </w:r>
          </w:p>
        </w:tc>
        <w:tc>
          <w:tcPr>
            <w:tcW w:w="1133" w:type="dxa"/>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314,1</w:t>
            </w:r>
          </w:p>
        </w:tc>
        <w:tc>
          <w:tcPr>
            <w:tcW w:w="851"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582,7</w:t>
            </w:r>
          </w:p>
        </w:tc>
        <w:tc>
          <w:tcPr>
            <w:tcW w:w="567"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0</w:t>
            </w:r>
          </w:p>
        </w:tc>
        <w:tc>
          <w:tcPr>
            <w:tcW w:w="852" w:type="dxa"/>
            <w:gridSpan w:val="2"/>
            <w:tcBorders>
              <w:top w:val="nil"/>
              <w:left w:val="nil"/>
              <w:bottom w:val="single" w:sz="12" w:space="0" w:color="auto"/>
              <w:right w:val="single" w:sz="12"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142,5</w:t>
            </w:r>
          </w:p>
        </w:tc>
        <w:tc>
          <w:tcPr>
            <w:tcW w:w="1131" w:type="dxa"/>
            <w:gridSpan w:val="2"/>
            <w:tcBorders>
              <w:top w:val="nil"/>
              <w:left w:val="nil"/>
              <w:bottom w:val="single" w:sz="12" w:space="0" w:color="auto"/>
              <w:right w:val="single" w:sz="4" w:space="0" w:color="auto"/>
            </w:tcBorders>
            <w:shd w:val="clear" w:color="auto" w:fill="auto"/>
            <w:hideMark/>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sz w:val="18"/>
                <w:szCs w:val="18"/>
                <w:lang w:val="uk-UA"/>
              </w:rPr>
              <w:t>15 066,0</w:t>
            </w:r>
          </w:p>
        </w:tc>
      </w:tr>
      <w:tr w:rsidR="00DD262C" w:rsidRPr="00DD262C" w:rsidTr="00B8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33" w:type="dxa"/>
          <w:trHeight w:val="540"/>
        </w:trPr>
        <w:tc>
          <w:tcPr>
            <w:tcW w:w="563" w:type="dxa"/>
            <w:tcBorders>
              <w:top w:val="single" w:sz="12" w:space="0" w:color="auto"/>
              <w:left w:val="single" w:sz="4" w:space="0" w:color="auto"/>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9.2</w:t>
            </w:r>
          </w:p>
        </w:tc>
        <w:tc>
          <w:tcPr>
            <w:tcW w:w="1559"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Знос на 31 грудня 2022 року</w:t>
            </w:r>
          </w:p>
        </w:tc>
        <w:tc>
          <w:tcPr>
            <w:tcW w:w="1134"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 -</w:t>
            </w:r>
          </w:p>
        </w:tc>
        <w:tc>
          <w:tcPr>
            <w:tcW w:w="992" w:type="dxa"/>
            <w:tcBorders>
              <w:top w:val="single" w:sz="12" w:space="0" w:color="auto"/>
              <w:left w:val="nil"/>
              <w:bottom w:val="single" w:sz="4" w:space="0" w:color="auto"/>
              <w:right w:val="single" w:sz="12" w:space="0" w:color="auto"/>
            </w:tcBorders>
            <w:shd w:val="clear" w:color="auto" w:fill="auto"/>
            <w:vAlign w:val="center"/>
            <w:hideMark/>
          </w:tcPr>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w:t>
            </w:r>
          </w:p>
        </w:tc>
        <w:tc>
          <w:tcPr>
            <w:tcW w:w="1134" w:type="dxa"/>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9129,6</w:t>
            </w:r>
          </w:p>
        </w:tc>
        <w:tc>
          <w:tcPr>
            <w:tcW w:w="1134" w:type="dxa"/>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rPr>
                <w:rFonts w:ascii="Times New Roman" w:hAnsi="Times New Roman" w:cs="Times New Roman"/>
                <w:sz w:val="18"/>
                <w:szCs w:val="18"/>
                <w:lang w:val="uk-UA"/>
              </w:rPr>
            </w:pPr>
          </w:p>
          <w:p w:rsidR="00DD262C" w:rsidRPr="00DD262C" w:rsidRDefault="00DD262C" w:rsidP="00B80E44">
            <w:pPr>
              <w:rPr>
                <w:rFonts w:ascii="Times New Roman" w:hAnsi="Times New Roman" w:cs="Times New Roman"/>
                <w:color w:val="000000"/>
                <w:sz w:val="18"/>
                <w:szCs w:val="18"/>
                <w:lang w:val="uk-UA"/>
              </w:rPr>
            </w:pPr>
            <w:r w:rsidRPr="00DD262C">
              <w:rPr>
                <w:rFonts w:ascii="Times New Roman" w:hAnsi="Times New Roman" w:cs="Times New Roman"/>
                <w:sz w:val="18"/>
                <w:szCs w:val="18"/>
                <w:lang w:val="uk-UA"/>
              </w:rPr>
              <w:t>972,4</w:t>
            </w:r>
          </w:p>
        </w:tc>
        <w:tc>
          <w:tcPr>
            <w:tcW w:w="1133" w:type="dxa"/>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color w:val="000000"/>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164,6</w:t>
            </w:r>
          </w:p>
        </w:tc>
        <w:tc>
          <w:tcPr>
            <w:tcW w:w="851" w:type="dxa"/>
            <w:gridSpan w:val="2"/>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410,7</w:t>
            </w:r>
          </w:p>
        </w:tc>
        <w:tc>
          <w:tcPr>
            <w:tcW w:w="567" w:type="dxa"/>
            <w:gridSpan w:val="2"/>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b/>
                <w:bCs/>
                <w:color w:val="000000"/>
                <w:sz w:val="18"/>
                <w:szCs w:val="18"/>
                <w:lang w:val="uk-UA"/>
              </w:rPr>
            </w:pPr>
          </w:p>
        </w:tc>
        <w:tc>
          <w:tcPr>
            <w:tcW w:w="852" w:type="dxa"/>
            <w:gridSpan w:val="2"/>
            <w:tcBorders>
              <w:top w:val="single" w:sz="12" w:space="0" w:color="auto"/>
              <w:left w:val="nil"/>
              <w:bottom w:val="single" w:sz="4" w:space="0" w:color="auto"/>
              <w:right w:val="single" w:sz="12" w:space="0" w:color="auto"/>
            </w:tcBorders>
            <w:shd w:val="clear" w:color="auto" w:fill="auto"/>
          </w:tcPr>
          <w:p w:rsidR="00DD262C" w:rsidRPr="00DD262C" w:rsidRDefault="00DD262C" w:rsidP="00B80E44">
            <w:pPr>
              <w:jc w:val="center"/>
              <w:rPr>
                <w:rFonts w:ascii="Times New Roman" w:hAnsi="Times New Roman" w:cs="Times New Roman"/>
                <w:color w:val="000000"/>
                <w:sz w:val="18"/>
                <w:szCs w:val="18"/>
                <w:lang w:val="uk-UA"/>
              </w:rPr>
            </w:pPr>
          </w:p>
          <w:p w:rsidR="00DD262C" w:rsidRPr="00DD262C" w:rsidRDefault="00DD262C" w:rsidP="00B80E44">
            <w:pPr>
              <w:jc w:val="center"/>
              <w:rPr>
                <w:rFonts w:ascii="Times New Roman" w:hAnsi="Times New Roman" w:cs="Times New Roman"/>
                <w:color w:val="000000"/>
                <w:sz w:val="18"/>
                <w:szCs w:val="18"/>
                <w:lang w:val="uk-UA"/>
              </w:rPr>
            </w:pPr>
            <w:r w:rsidRPr="00DD262C">
              <w:rPr>
                <w:rFonts w:ascii="Times New Roman" w:hAnsi="Times New Roman" w:cs="Times New Roman"/>
                <w:color w:val="000000"/>
                <w:sz w:val="18"/>
                <w:szCs w:val="18"/>
                <w:lang w:val="uk-UA"/>
              </w:rPr>
              <w:t>6,7</w:t>
            </w:r>
          </w:p>
        </w:tc>
        <w:tc>
          <w:tcPr>
            <w:tcW w:w="1131" w:type="dxa"/>
            <w:gridSpan w:val="2"/>
            <w:tcBorders>
              <w:top w:val="single" w:sz="12" w:space="0" w:color="auto"/>
              <w:left w:val="nil"/>
              <w:bottom w:val="single" w:sz="4" w:space="0" w:color="auto"/>
              <w:right w:val="single" w:sz="4" w:space="0" w:color="auto"/>
            </w:tcBorders>
            <w:shd w:val="clear" w:color="auto" w:fill="auto"/>
          </w:tcPr>
          <w:p w:rsidR="00DD262C" w:rsidRPr="00DD262C" w:rsidRDefault="00DD262C" w:rsidP="00B80E44">
            <w:pPr>
              <w:jc w:val="center"/>
              <w:rPr>
                <w:rFonts w:ascii="Times New Roman" w:hAnsi="Times New Roman" w:cs="Times New Roman"/>
                <w:b/>
                <w:bCs/>
                <w:color w:val="000000"/>
                <w:sz w:val="18"/>
                <w:szCs w:val="18"/>
                <w:lang w:val="uk-UA"/>
              </w:rPr>
            </w:pPr>
          </w:p>
          <w:p w:rsidR="00DD262C" w:rsidRPr="00DD262C" w:rsidRDefault="00DD262C" w:rsidP="00B80E44">
            <w:pPr>
              <w:jc w:val="center"/>
              <w:rPr>
                <w:rFonts w:ascii="Times New Roman" w:hAnsi="Times New Roman" w:cs="Times New Roman"/>
                <w:b/>
                <w:bCs/>
                <w:color w:val="000000"/>
                <w:sz w:val="18"/>
                <w:szCs w:val="18"/>
                <w:lang w:val="uk-UA"/>
              </w:rPr>
            </w:pPr>
            <w:r w:rsidRPr="00DD262C">
              <w:rPr>
                <w:rFonts w:ascii="Times New Roman" w:hAnsi="Times New Roman" w:cs="Times New Roman"/>
                <w:b/>
                <w:bCs/>
                <w:color w:val="000000"/>
                <w:sz w:val="18"/>
                <w:szCs w:val="18"/>
                <w:lang w:val="uk-UA"/>
              </w:rPr>
              <w:t>10 684,0</w:t>
            </w:r>
          </w:p>
        </w:tc>
      </w:tr>
    </w:tbl>
    <w:p w:rsidR="00DD262C" w:rsidRDefault="00DD262C" w:rsidP="00DD262C">
      <w:pPr>
        <w:shd w:val="clear" w:color="auto" w:fill="FFFFFF"/>
        <w:jc w:val="both"/>
        <w:rPr>
          <w:rFonts w:ascii="Times New Roman" w:hAnsi="Times New Roman" w:cs="Times New Roman"/>
          <w:lang w:val="uk-UA"/>
        </w:rPr>
      </w:pPr>
    </w:p>
    <w:p w:rsidR="00DD262C" w:rsidRPr="00DD262C" w:rsidRDefault="00DD262C" w:rsidP="00DD262C">
      <w:pPr>
        <w:shd w:val="clear" w:color="auto" w:fill="FFFFFF"/>
        <w:jc w:val="both"/>
        <w:rPr>
          <w:rFonts w:ascii="Times New Roman" w:hAnsi="Times New Roman" w:cs="Times New Roman"/>
          <w:b/>
          <w:bCs/>
          <w:i/>
          <w:spacing w:val="-2"/>
          <w:lang w:val="uk-UA"/>
        </w:rPr>
      </w:pPr>
      <w:r w:rsidRPr="00DD262C">
        <w:rPr>
          <w:rFonts w:ascii="Times New Roman" w:hAnsi="Times New Roman" w:cs="Times New Roman"/>
          <w:lang w:val="uk-UA"/>
        </w:rPr>
        <w:t xml:space="preserve"> Об</w:t>
      </w:r>
      <w:r w:rsidRPr="00DD262C">
        <w:rPr>
          <w:rFonts w:ascii="Times New Roman" w:hAnsi="Times New Roman" w:cs="Times New Roman"/>
        </w:rPr>
        <w:t>’</w:t>
      </w:r>
      <w:r w:rsidRPr="00DD262C">
        <w:rPr>
          <w:rFonts w:ascii="Times New Roman" w:hAnsi="Times New Roman" w:cs="Times New Roman"/>
          <w:lang w:val="uk-UA"/>
        </w:rPr>
        <w:t xml:space="preserve">єкти основних засобів, а  саме земельна ділянка та будівля на неї на суму  6 280,0 тис грн  </w:t>
      </w:r>
      <w:r w:rsidRPr="00DD262C">
        <w:rPr>
          <w:rFonts w:ascii="Times New Roman" w:hAnsi="Times New Roman" w:cs="Times New Roman"/>
          <w:color w:val="333333"/>
          <w:shd w:val="clear" w:color="auto" w:fill="FFFFFF"/>
          <w:lang w:val="uk-UA"/>
        </w:rPr>
        <w:t xml:space="preserve">з метою одержання економічних вигод у вигляді фінансових доходів переведено </w:t>
      </w:r>
      <w:r w:rsidRPr="00DD262C">
        <w:rPr>
          <w:rFonts w:ascii="Times New Roman" w:hAnsi="Times New Roman" w:cs="Times New Roman"/>
          <w:bCs/>
          <w:spacing w:val="-2"/>
          <w:lang w:val="uk-UA"/>
        </w:rPr>
        <w:t xml:space="preserve">до нерухомого майна </w:t>
      </w:r>
      <w:r w:rsidRPr="00DD262C">
        <w:rPr>
          <w:rFonts w:ascii="Times New Roman" w:hAnsi="Times New Roman" w:cs="Times New Roman"/>
          <w:lang w:val="uk-UA"/>
        </w:rPr>
        <w:t>у складі інвестиційної нерухомісті.</w:t>
      </w:r>
      <w:r w:rsidRPr="00DD262C">
        <w:rPr>
          <w:rFonts w:ascii="Times New Roman" w:hAnsi="Times New Roman" w:cs="Times New Roman"/>
          <w:bCs/>
          <w:spacing w:val="-2"/>
          <w:lang w:val="uk-UA"/>
        </w:rPr>
        <w:t>.</w:t>
      </w:r>
    </w:p>
    <w:p w:rsidR="00DD262C" w:rsidRPr="00DD262C" w:rsidRDefault="00DD262C" w:rsidP="00DD262C">
      <w:pPr>
        <w:pStyle w:val="a3"/>
        <w:ind w:right="0" w:firstLine="540"/>
      </w:pPr>
      <w:r w:rsidRPr="00DD262C">
        <w:t>На протзі  на суму 334,0 тис.грн.оку проведено капітальний ремонт  медичного обладнання  , який використовується для діагностики захворюваннь застрахованих Компанією осіб..</w:t>
      </w:r>
    </w:p>
    <w:p w:rsidR="00DD262C" w:rsidRPr="00DD262C" w:rsidRDefault="00DD262C" w:rsidP="00DD262C">
      <w:pPr>
        <w:pStyle w:val="a3"/>
        <w:ind w:right="0" w:firstLine="540"/>
      </w:pPr>
      <w:r w:rsidRPr="00DD262C">
        <w:t xml:space="preserve">Основні засоби та нематеріальні активи, наведені в Таблиці 6.1 належать Компанії на праві власності і в заставу не надані. Компанія не обмежена у володінні, користуванні та розпорядженні власними основними засобами. </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 xml:space="preserve">Станом на звітну дату дооцінка не здійснювалась та відсутні суттєві зобов’язання Компанії щодо придбання основних засобів. </w:t>
      </w:r>
    </w:p>
    <w:p w:rsidR="00DD262C" w:rsidRPr="00DD262C" w:rsidRDefault="00DD262C" w:rsidP="00DD262C">
      <w:pPr>
        <w:ind w:firstLine="540"/>
        <w:jc w:val="both"/>
        <w:rPr>
          <w:rFonts w:ascii="Times New Roman" w:hAnsi="Times New Roman" w:cs="Times New Roman"/>
          <w:b/>
          <w:i/>
          <w:lang w:val="uk-UA"/>
        </w:rPr>
      </w:pPr>
      <w:r w:rsidRPr="00DD262C">
        <w:rPr>
          <w:rFonts w:ascii="Times New Roman" w:hAnsi="Times New Roman" w:cs="Times New Roman"/>
          <w:b/>
          <w:i/>
          <w:lang w:val="uk-UA"/>
        </w:rPr>
        <w:t xml:space="preserve">6.2. Інвестиційна нерухомість </w:t>
      </w:r>
    </w:p>
    <w:p w:rsidR="00DD262C" w:rsidRPr="00DD262C" w:rsidRDefault="00DD262C" w:rsidP="00DD262C">
      <w:pPr>
        <w:ind w:firstLine="540"/>
        <w:jc w:val="both"/>
        <w:rPr>
          <w:rFonts w:ascii="Times New Roman" w:hAnsi="Times New Roman" w:cs="Times New Roman"/>
          <w:szCs w:val="18"/>
          <w:lang w:val="uk-UA"/>
        </w:rPr>
      </w:pPr>
      <w:r w:rsidRPr="00DD262C">
        <w:rPr>
          <w:rFonts w:ascii="Times New Roman" w:hAnsi="Times New Roman" w:cs="Times New Roman"/>
          <w:lang w:val="uk-UA"/>
        </w:rPr>
        <w:t xml:space="preserve"> Інвестиційна нерухомість, обліковується за справедливою вартістю.</w:t>
      </w:r>
    </w:p>
    <w:p w:rsidR="00DD262C" w:rsidRPr="00DD262C" w:rsidRDefault="00DD262C" w:rsidP="00DD262C">
      <w:pPr>
        <w:ind w:left="7799" w:firstLine="709"/>
        <w:rPr>
          <w:rFonts w:ascii="Times New Roman" w:hAnsi="Times New Roman" w:cs="Times New Roman"/>
          <w:szCs w:val="18"/>
          <w:lang w:val="uk-UA"/>
        </w:rPr>
      </w:pPr>
      <w:r>
        <w:rPr>
          <w:rFonts w:ascii="Times New Roman" w:hAnsi="Times New Roman" w:cs="Times New Roman"/>
          <w:szCs w:val="18"/>
          <w:lang w:val="uk-UA"/>
        </w:rPr>
        <w:t>Таб.6.2.</w:t>
      </w:r>
    </w:p>
    <w:tbl>
      <w:tblPr>
        <w:tblW w:w="9508" w:type="dxa"/>
        <w:tblInd w:w="98" w:type="dxa"/>
        <w:tblLook w:val="04A0" w:firstRow="1" w:lastRow="0" w:firstColumn="1" w:lastColumn="0" w:noHBand="0" w:noVBand="1"/>
      </w:tblPr>
      <w:tblGrid>
        <w:gridCol w:w="880"/>
        <w:gridCol w:w="3440"/>
        <w:gridCol w:w="1200"/>
        <w:gridCol w:w="1200"/>
        <w:gridCol w:w="1200"/>
        <w:gridCol w:w="1588"/>
      </w:tblGrid>
      <w:tr w:rsidR="00DD262C" w:rsidRPr="00DD262C" w:rsidTr="00B80E44">
        <w:trPr>
          <w:trHeight w:val="1245"/>
        </w:trPr>
        <w:tc>
          <w:tcPr>
            <w:tcW w:w="880" w:type="dxa"/>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Рядок</w:t>
            </w:r>
          </w:p>
        </w:tc>
        <w:tc>
          <w:tcPr>
            <w:tcW w:w="3440" w:type="dxa"/>
            <w:tcBorders>
              <w:top w:val="single" w:sz="8" w:space="0" w:color="auto"/>
              <w:left w:val="nil"/>
              <w:bottom w:val="single" w:sz="8" w:space="0" w:color="auto"/>
              <w:right w:val="single" w:sz="8" w:space="0" w:color="auto"/>
            </w:tcBorders>
            <w:shd w:val="clear" w:color="000000" w:fill="3366FF"/>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Найменування статті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Земельні ділянки</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Будівлі</w:t>
            </w:r>
          </w:p>
        </w:tc>
        <w:tc>
          <w:tcPr>
            <w:tcW w:w="1200"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квартири</w:t>
            </w:r>
          </w:p>
        </w:tc>
        <w:tc>
          <w:tcPr>
            <w:tcW w:w="1588" w:type="dxa"/>
            <w:tcBorders>
              <w:top w:val="single" w:sz="8" w:space="0" w:color="auto"/>
              <w:left w:val="nil"/>
              <w:bottom w:val="single" w:sz="8" w:space="0" w:color="auto"/>
              <w:right w:val="single" w:sz="8" w:space="0" w:color="auto"/>
            </w:tcBorders>
            <w:shd w:val="clear" w:color="000000" w:fill="3366FF"/>
            <w:noWrap/>
            <w:textDirection w:val="btLr"/>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Усього</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000000" w:fill="3366FF"/>
            <w:vAlign w:val="center"/>
            <w:hideMark/>
          </w:tcPr>
          <w:p w:rsidR="00DD262C" w:rsidRPr="00DD262C" w:rsidRDefault="00DD262C" w:rsidP="00B80E44">
            <w:pPr>
              <w:jc w:val="center"/>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1</w:t>
            </w:r>
          </w:p>
        </w:tc>
        <w:tc>
          <w:tcPr>
            <w:tcW w:w="3440"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2</w:t>
            </w:r>
          </w:p>
        </w:tc>
        <w:tc>
          <w:tcPr>
            <w:tcW w:w="1200"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3</w:t>
            </w:r>
          </w:p>
        </w:tc>
        <w:tc>
          <w:tcPr>
            <w:tcW w:w="1200"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4</w:t>
            </w:r>
          </w:p>
        </w:tc>
        <w:tc>
          <w:tcPr>
            <w:tcW w:w="1200"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5</w:t>
            </w:r>
          </w:p>
        </w:tc>
        <w:tc>
          <w:tcPr>
            <w:tcW w:w="1588"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sz w:val="20"/>
                <w:lang w:val="uk-UA"/>
              </w:rPr>
            </w:pPr>
            <w:r w:rsidRPr="00DD262C">
              <w:rPr>
                <w:rFonts w:ascii="Times New Roman" w:hAnsi="Times New Roman" w:cs="Times New Roman"/>
                <w:b/>
                <w:bCs/>
                <w:color w:val="FFFFFF"/>
                <w:sz w:val="20"/>
                <w:lang w:val="uk-UA"/>
              </w:rPr>
              <w:t>6</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b/>
                <w:bCs/>
                <w:lang w:val="uk-UA"/>
              </w:rPr>
            </w:pPr>
            <w:r w:rsidRPr="00DD262C">
              <w:rPr>
                <w:rFonts w:ascii="Times New Roman" w:hAnsi="Times New Roman" w:cs="Times New Roman"/>
                <w:b/>
                <w:bCs/>
                <w:lang w:val="uk-UA"/>
              </w:rPr>
              <w:t>Залишок станом на 01 січня 2022р.</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b/>
                <w:lang w:val="uk-UA"/>
              </w:rPr>
              <w:t>22720,0</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b/>
                <w:lang w:val="uk-UA"/>
              </w:rPr>
              <w:t>2420,0</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b/>
                <w:lang w:val="uk-UA"/>
              </w:rPr>
              <w:t>25140</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1.1</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1.2</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2</w:t>
            </w:r>
          </w:p>
        </w:tc>
        <w:tc>
          <w:tcPr>
            <w:tcW w:w="344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Капітальні інвестиції на реконструкцію</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3</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Амортизація</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4</w:t>
            </w:r>
          </w:p>
        </w:tc>
        <w:tc>
          <w:tcPr>
            <w:tcW w:w="344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Зміна справедливої вартості інвестиційної нерухомості (дооцінка)</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  -530,0</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 670,0</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 140,0</w:t>
            </w:r>
          </w:p>
        </w:tc>
      </w:tr>
      <w:tr w:rsidR="00DD262C" w:rsidRPr="00DD262C" w:rsidTr="00B80E44">
        <w:trPr>
          <w:trHeight w:val="780"/>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5</w:t>
            </w:r>
          </w:p>
        </w:tc>
        <w:tc>
          <w:tcPr>
            <w:tcW w:w="344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Переведення з категорії капітальних інвестицій до інвестиційної нерухомості</w:t>
            </w:r>
          </w:p>
        </w:tc>
        <w:tc>
          <w:tcPr>
            <w:tcW w:w="1200"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3090,0</w:t>
            </w:r>
          </w:p>
        </w:tc>
        <w:tc>
          <w:tcPr>
            <w:tcW w:w="1200"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p>
        </w:tc>
        <w:tc>
          <w:tcPr>
            <w:tcW w:w="1200"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3190,0</w:t>
            </w:r>
          </w:p>
        </w:tc>
        <w:tc>
          <w:tcPr>
            <w:tcW w:w="1588"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6280,0</w:t>
            </w:r>
          </w:p>
        </w:tc>
      </w:tr>
      <w:tr w:rsidR="00DD262C" w:rsidRPr="00DD262C" w:rsidTr="00B80E44">
        <w:trPr>
          <w:trHeight w:val="52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6</w:t>
            </w:r>
          </w:p>
        </w:tc>
        <w:tc>
          <w:tcPr>
            <w:tcW w:w="344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Переведення з категорії з категорії будівель, займаних власником</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6.1</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6.2</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7</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Вибуття</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7.1</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Балансова вартість</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7.2</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Знос</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trHeight w:val="315"/>
        </w:trPr>
        <w:tc>
          <w:tcPr>
            <w:tcW w:w="88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8</w:t>
            </w:r>
          </w:p>
        </w:tc>
        <w:tc>
          <w:tcPr>
            <w:tcW w:w="344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b/>
                <w:bCs/>
                <w:lang w:val="uk-UA"/>
              </w:rPr>
            </w:pPr>
            <w:r w:rsidRPr="00DD262C">
              <w:rPr>
                <w:rFonts w:ascii="Times New Roman" w:hAnsi="Times New Roman" w:cs="Times New Roman"/>
                <w:b/>
                <w:bCs/>
                <w:lang w:val="uk-UA"/>
              </w:rPr>
              <w:t>Залишок станом на 31 грудня 2022р.</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b/>
                <w:lang w:val="uk-UA"/>
              </w:rPr>
            </w:pPr>
            <w:r w:rsidRPr="00DD262C">
              <w:rPr>
                <w:rFonts w:ascii="Times New Roman" w:hAnsi="Times New Roman" w:cs="Times New Roman"/>
                <w:b/>
                <w:lang w:val="uk-UA"/>
              </w:rPr>
              <w:t>25 280,0</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b/>
                <w:lang w:val="uk-UA"/>
              </w:rPr>
            </w:pPr>
            <w:r w:rsidRPr="00DD262C">
              <w:rPr>
                <w:rFonts w:ascii="Times New Roman" w:hAnsi="Times New Roman" w:cs="Times New Roman"/>
                <w:b/>
                <w:lang w:val="uk-UA"/>
              </w:rPr>
              <w:t>-</w:t>
            </w:r>
          </w:p>
        </w:tc>
        <w:tc>
          <w:tcPr>
            <w:tcW w:w="1200"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b/>
                <w:lang w:val="uk-UA"/>
              </w:rPr>
            </w:pPr>
            <w:r w:rsidRPr="00DD262C">
              <w:rPr>
                <w:rFonts w:ascii="Times New Roman" w:hAnsi="Times New Roman" w:cs="Times New Roman"/>
                <w:b/>
                <w:lang w:val="uk-UA"/>
              </w:rPr>
              <w:t>6 280,0</w:t>
            </w:r>
          </w:p>
        </w:tc>
        <w:tc>
          <w:tcPr>
            <w:tcW w:w="1588"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b/>
                <w:lang w:val="uk-UA"/>
              </w:rPr>
            </w:pPr>
            <w:r w:rsidRPr="00DD262C">
              <w:rPr>
                <w:rFonts w:ascii="Times New Roman" w:hAnsi="Times New Roman" w:cs="Times New Roman"/>
                <w:b/>
                <w:lang w:val="uk-UA"/>
              </w:rPr>
              <w:t>31 560,0</w:t>
            </w:r>
          </w:p>
        </w:tc>
      </w:tr>
    </w:tbl>
    <w:p w:rsidR="00DD262C" w:rsidRPr="00DD262C" w:rsidRDefault="00DD262C" w:rsidP="00DD262C">
      <w:pPr>
        <w:ind w:firstLine="540"/>
        <w:jc w:val="both"/>
        <w:rPr>
          <w:rFonts w:ascii="Times New Roman" w:hAnsi="Times New Roman" w:cs="Times New Roman"/>
          <w:b/>
          <w:lang w:val="uk-UA"/>
        </w:rPr>
      </w:pPr>
    </w:p>
    <w:p w:rsidR="00DD262C" w:rsidRPr="00DD262C" w:rsidRDefault="00DD262C" w:rsidP="00DD262C">
      <w:pPr>
        <w:pStyle w:val="a3"/>
        <w:ind w:right="0" w:firstLine="540"/>
      </w:pPr>
      <w:r w:rsidRPr="00DD262C">
        <w:t xml:space="preserve">На  31.12.2022 р. була проведена оцінка інвестиційної нерухомості. Оцінку проводив суб`єкт оціночної діяльності ДП «Європейський центр консалтингу та оцінки» який має Сертифікат  суб’єкта оціночної вартості ,виданий  Фондом Держмайна України від 15 червня 2021р. за №475/21.Для визначення справедливої вартості був застосований метод порівняння, оскільки він краще відповідав таким характеристикам, як достовірність і повнота інформації. За даними оцінки видана  Рецензія на експертну грошову оцінку земельних ділянок та нерухомості яка є у власності ПрАТ «СК «САТІС» Громадською Організацією «Всеукраїнська  Спілка Оцінювачів Землі»  </w:t>
      </w:r>
    </w:p>
    <w:p w:rsidR="00DD262C" w:rsidRPr="00DD262C" w:rsidRDefault="00DD262C" w:rsidP="00DD262C">
      <w:pPr>
        <w:pStyle w:val="a3"/>
        <w:ind w:right="0" w:firstLine="540"/>
      </w:pPr>
      <w:r w:rsidRPr="00DD262C">
        <w:t>Нерухомість         – дооцінка  670,0тис грн.</w:t>
      </w:r>
    </w:p>
    <w:p w:rsidR="00DD262C" w:rsidRPr="00DD262C" w:rsidRDefault="00DD262C" w:rsidP="00DD262C">
      <w:pPr>
        <w:pStyle w:val="a3"/>
        <w:ind w:right="0" w:firstLine="540"/>
      </w:pPr>
      <w:r w:rsidRPr="00DD262C">
        <w:t>Земельні ділянки  – уцінка       -530,0 тис грн.</w:t>
      </w:r>
    </w:p>
    <w:p w:rsidR="00DD262C" w:rsidRPr="00DD262C" w:rsidRDefault="00DD262C" w:rsidP="00DD262C">
      <w:pPr>
        <w:pStyle w:val="a3"/>
        <w:ind w:right="0" w:firstLine="540"/>
      </w:pPr>
      <w:r w:rsidRPr="00DD262C">
        <w:t>Дооцінка і уцінка відображенна в звіті про фінансовий результат</w:t>
      </w:r>
    </w:p>
    <w:p w:rsidR="00DD262C" w:rsidRPr="00DD262C" w:rsidRDefault="00DD262C" w:rsidP="00DD262C">
      <w:pPr>
        <w:pStyle w:val="a3"/>
        <w:ind w:right="0" w:firstLine="540"/>
      </w:pPr>
      <w:r w:rsidRPr="00DD262C">
        <w:t>Амортизація на нерухомість в звітному періоді не нараховувалась відповідно до МСБО 16., а саме тому, що вона  ще не доступна до використання ,стан не дозволяє ії експлуатувати відповідно до намірів керівництва. Амортизація на земельні ділянки не нараховується.</w:t>
      </w:r>
    </w:p>
    <w:p w:rsidR="00DD262C" w:rsidRPr="00DD262C" w:rsidRDefault="00DD262C" w:rsidP="00DD262C">
      <w:pPr>
        <w:ind w:firstLine="540"/>
        <w:jc w:val="both"/>
        <w:rPr>
          <w:rFonts w:ascii="Times New Roman" w:hAnsi="Times New Roman" w:cs="Times New Roman"/>
          <w:b/>
          <w:lang w:val="uk-UA"/>
        </w:rPr>
      </w:pPr>
    </w:p>
    <w:p w:rsidR="00DD262C" w:rsidRPr="00DD262C" w:rsidRDefault="00DD262C" w:rsidP="00DD262C">
      <w:pPr>
        <w:ind w:firstLine="540"/>
        <w:jc w:val="both"/>
        <w:rPr>
          <w:rFonts w:ascii="Times New Roman" w:hAnsi="Times New Roman" w:cs="Times New Roman"/>
          <w:b/>
          <w:lang w:val="uk-UA"/>
        </w:rPr>
      </w:pPr>
      <w:r w:rsidRPr="00DD262C">
        <w:rPr>
          <w:rFonts w:ascii="Times New Roman" w:hAnsi="Times New Roman" w:cs="Times New Roman"/>
          <w:b/>
          <w:lang w:val="uk-UA"/>
        </w:rPr>
        <w:t>Інвестиційна нерухомість станом на 31.12.2022р.</w:t>
      </w:r>
    </w:p>
    <w:p w:rsidR="00DD262C" w:rsidRPr="00DD262C" w:rsidRDefault="00DD262C" w:rsidP="00DD262C">
      <w:pPr>
        <w:pStyle w:val="ac"/>
        <w:jc w:val="right"/>
        <w:rPr>
          <w:bCs/>
          <w:spacing w:val="-2"/>
          <w:lang w:val="uk-UA"/>
        </w:rPr>
      </w:pPr>
      <w:r w:rsidRPr="00DD262C">
        <w:rPr>
          <w:lang w:val="uk-UA"/>
        </w:rPr>
        <w:t>Таб.6.2.2 (тис. грн.)</w:t>
      </w:r>
    </w:p>
    <w:tbl>
      <w:tblPr>
        <w:tblW w:w="9434" w:type="dxa"/>
        <w:tblInd w:w="98" w:type="dxa"/>
        <w:tblLook w:val="04A0" w:firstRow="1" w:lastRow="0" w:firstColumn="1" w:lastColumn="0" w:noHBand="0" w:noVBand="1"/>
      </w:tblPr>
      <w:tblGrid>
        <w:gridCol w:w="760"/>
        <w:gridCol w:w="3880"/>
        <w:gridCol w:w="1629"/>
        <w:gridCol w:w="1701"/>
        <w:gridCol w:w="1464"/>
      </w:tblGrid>
      <w:tr w:rsidR="00DD262C" w:rsidRPr="00DD262C" w:rsidTr="00B80E44">
        <w:trPr>
          <w:trHeight w:val="1545"/>
        </w:trPr>
        <w:tc>
          <w:tcPr>
            <w:tcW w:w="76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DD262C" w:rsidRPr="00DD262C" w:rsidRDefault="00DD262C" w:rsidP="00B80E44">
            <w:pPr>
              <w:jc w:val="center"/>
              <w:rPr>
                <w:rFonts w:ascii="Times New Roman" w:hAnsi="Times New Roman" w:cs="Times New Roman"/>
                <w:b/>
                <w:bCs/>
                <w:color w:val="FFFFFF"/>
                <w:lang w:val="uk-UA"/>
              </w:rPr>
            </w:pPr>
          </w:p>
        </w:tc>
        <w:tc>
          <w:tcPr>
            <w:tcW w:w="3880"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DD262C" w:rsidRPr="00DD262C" w:rsidRDefault="00DD262C" w:rsidP="00B80E44">
            <w:pPr>
              <w:spacing w:line="480" w:lineRule="auto"/>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 xml:space="preserve">Об”екти  нерухомості </w:t>
            </w:r>
          </w:p>
        </w:tc>
        <w:tc>
          <w:tcPr>
            <w:tcW w:w="1629" w:type="dxa"/>
            <w:vMerge w:val="restart"/>
            <w:tcBorders>
              <w:top w:val="single" w:sz="8" w:space="0" w:color="auto"/>
              <w:left w:val="single" w:sz="8" w:space="0" w:color="auto"/>
              <w:bottom w:val="single" w:sz="8" w:space="0" w:color="auto"/>
              <w:right w:val="single" w:sz="8" w:space="0" w:color="auto"/>
            </w:tcBorders>
            <w:shd w:val="clear" w:color="000000" w:fill="3366FF"/>
            <w:textDirection w:val="btLr"/>
            <w:vAlign w:val="center"/>
            <w:hideMark/>
          </w:tcPr>
          <w:p w:rsidR="00DD262C" w:rsidRPr="00DD262C" w:rsidRDefault="00DD262C" w:rsidP="00B80E44">
            <w:pPr>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Напрями використання</w:t>
            </w:r>
          </w:p>
        </w:tc>
        <w:tc>
          <w:tcPr>
            <w:tcW w:w="3165" w:type="dxa"/>
            <w:gridSpan w:val="2"/>
            <w:tcBorders>
              <w:top w:val="single" w:sz="8" w:space="0" w:color="auto"/>
              <w:left w:val="nil"/>
              <w:bottom w:val="single" w:sz="8" w:space="0" w:color="auto"/>
              <w:right w:val="single" w:sz="8" w:space="0" w:color="auto"/>
            </w:tcBorders>
            <w:shd w:val="clear" w:color="000000" w:fill="3366FF"/>
            <w:textDirection w:val="btLr"/>
            <w:vAlign w:val="center"/>
            <w:hideMark/>
          </w:tcPr>
          <w:p w:rsidR="00DD262C" w:rsidRPr="00DD262C" w:rsidRDefault="00DD262C" w:rsidP="00B80E44">
            <w:pPr>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Вартість</w:t>
            </w:r>
          </w:p>
        </w:tc>
      </w:tr>
      <w:tr w:rsidR="00DD262C" w:rsidRPr="00DD262C" w:rsidTr="00B80E44">
        <w:trPr>
          <w:trHeight w:val="330"/>
        </w:trPr>
        <w:tc>
          <w:tcPr>
            <w:tcW w:w="760" w:type="dxa"/>
            <w:vMerge/>
            <w:tcBorders>
              <w:top w:val="single" w:sz="8" w:space="0" w:color="auto"/>
              <w:left w:val="single" w:sz="8" w:space="0" w:color="auto"/>
              <w:bottom w:val="single" w:sz="8" w:space="0" w:color="auto"/>
              <w:right w:val="single" w:sz="8" w:space="0" w:color="auto"/>
            </w:tcBorders>
            <w:vAlign w:val="center"/>
            <w:hideMark/>
          </w:tcPr>
          <w:p w:rsidR="00DD262C" w:rsidRPr="00DD262C" w:rsidRDefault="00DD262C" w:rsidP="00B80E44">
            <w:pPr>
              <w:rPr>
                <w:rFonts w:ascii="Times New Roman" w:hAnsi="Times New Roman" w:cs="Times New Roman"/>
                <w:b/>
                <w:bCs/>
                <w:color w:val="FFFFFF"/>
                <w:lang w:val="uk-UA"/>
              </w:rPr>
            </w:pPr>
          </w:p>
        </w:tc>
        <w:tc>
          <w:tcPr>
            <w:tcW w:w="3880" w:type="dxa"/>
            <w:vMerge/>
            <w:tcBorders>
              <w:top w:val="single" w:sz="8" w:space="0" w:color="auto"/>
              <w:left w:val="single" w:sz="8" w:space="0" w:color="auto"/>
              <w:bottom w:val="single" w:sz="8" w:space="0" w:color="auto"/>
              <w:right w:val="single" w:sz="8" w:space="0" w:color="auto"/>
            </w:tcBorders>
            <w:vAlign w:val="center"/>
            <w:hideMark/>
          </w:tcPr>
          <w:p w:rsidR="00DD262C" w:rsidRPr="00DD262C" w:rsidRDefault="00DD262C" w:rsidP="00B80E44">
            <w:pPr>
              <w:rPr>
                <w:rFonts w:ascii="Times New Roman" w:hAnsi="Times New Roman" w:cs="Times New Roman"/>
                <w:b/>
                <w:bCs/>
                <w:color w:val="FFFFFF"/>
                <w:lang w:val="uk-UA"/>
              </w:rPr>
            </w:pPr>
          </w:p>
        </w:tc>
        <w:tc>
          <w:tcPr>
            <w:tcW w:w="1629" w:type="dxa"/>
            <w:vMerge/>
            <w:tcBorders>
              <w:top w:val="single" w:sz="8" w:space="0" w:color="auto"/>
              <w:left w:val="single" w:sz="8" w:space="0" w:color="auto"/>
              <w:bottom w:val="single" w:sz="8" w:space="0" w:color="auto"/>
              <w:right w:val="single" w:sz="8" w:space="0" w:color="auto"/>
            </w:tcBorders>
            <w:vAlign w:val="center"/>
            <w:hideMark/>
          </w:tcPr>
          <w:p w:rsidR="00DD262C" w:rsidRPr="00DD262C" w:rsidRDefault="00DD262C" w:rsidP="00B80E44">
            <w:pPr>
              <w:rPr>
                <w:rFonts w:ascii="Times New Roman" w:hAnsi="Times New Roman" w:cs="Times New Roman"/>
                <w:b/>
                <w:bCs/>
                <w:color w:val="FFFFFF"/>
                <w:lang w:val="uk-UA"/>
              </w:rPr>
            </w:pPr>
          </w:p>
        </w:tc>
        <w:tc>
          <w:tcPr>
            <w:tcW w:w="1701" w:type="dxa"/>
            <w:tcBorders>
              <w:top w:val="nil"/>
              <w:left w:val="nil"/>
              <w:bottom w:val="single" w:sz="8" w:space="0" w:color="auto"/>
              <w:right w:val="single" w:sz="8" w:space="0" w:color="auto"/>
            </w:tcBorders>
            <w:shd w:val="clear" w:color="000000" w:fill="3366FF"/>
            <w:vAlign w:val="bottom"/>
            <w:hideMark/>
          </w:tcPr>
          <w:p w:rsidR="00DD262C" w:rsidRPr="00DD262C" w:rsidRDefault="00DD262C" w:rsidP="00B80E44">
            <w:pPr>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Первісна</w:t>
            </w:r>
          </w:p>
        </w:tc>
        <w:tc>
          <w:tcPr>
            <w:tcW w:w="1464" w:type="dxa"/>
            <w:tcBorders>
              <w:top w:val="nil"/>
              <w:left w:val="nil"/>
              <w:bottom w:val="single" w:sz="8" w:space="0" w:color="auto"/>
              <w:right w:val="single" w:sz="8" w:space="0" w:color="auto"/>
            </w:tcBorders>
            <w:shd w:val="clear" w:color="000000" w:fill="3366FF"/>
            <w:vAlign w:val="bottom"/>
            <w:hideMark/>
          </w:tcPr>
          <w:p w:rsidR="00DD262C" w:rsidRPr="00DD262C" w:rsidRDefault="00DD262C" w:rsidP="00B80E44">
            <w:pPr>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Переоцінена</w:t>
            </w:r>
          </w:p>
        </w:tc>
      </w:tr>
      <w:tr w:rsidR="00DD262C" w:rsidRPr="00DD262C" w:rsidTr="00B80E44">
        <w:trPr>
          <w:trHeight w:val="330"/>
        </w:trPr>
        <w:tc>
          <w:tcPr>
            <w:tcW w:w="760" w:type="dxa"/>
            <w:tcBorders>
              <w:top w:val="nil"/>
              <w:left w:val="single" w:sz="8" w:space="0" w:color="auto"/>
              <w:bottom w:val="single" w:sz="8" w:space="0" w:color="auto"/>
              <w:right w:val="single" w:sz="8" w:space="0" w:color="auto"/>
            </w:tcBorders>
            <w:shd w:val="clear" w:color="000000" w:fill="3366FF"/>
            <w:vAlign w:val="center"/>
            <w:hideMark/>
          </w:tcPr>
          <w:p w:rsidR="00DD262C" w:rsidRPr="00DD262C" w:rsidRDefault="00DD262C" w:rsidP="00B80E44">
            <w:pPr>
              <w:jc w:val="center"/>
              <w:rPr>
                <w:rFonts w:ascii="Times New Roman" w:hAnsi="Times New Roman" w:cs="Times New Roman"/>
                <w:b/>
                <w:bCs/>
                <w:color w:val="FFFFFF"/>
                <w:lang w:val="uk-UA"/>
              </w:rPr>
            </w:pPr>
            <w:r w:rsidRPr="00DD262C">
              <w:rPr>
                <w:rFonts w:ascii="Times New Roman" w:hAnsi="Times New Roman" w:cs="Times New Roman"/>
                <w:b/>
                <w:bCs/>
                <w:color w:val="FFFFFF"/>
                <w:lang w:val="uk-UA"/>
              </w:rPr>
              <w:t>1</w:t>
            </w:r>
          </w:p>
        </w:tc>
        <w:tc>
          <w:tcPr>
            <w:tcW w:w="3880"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lang w:val="uk-UA"/>
              </w:rPr>
            </w:pPr>
            <w:r w:rsidRPr="00DD262C">
              <w:rPr>
                <w:rFonts w:ascii="Times New Roman" w:hAnsi="Times New Roman" w:cs="Times New Roman"/>
                <w:b/>
                <w:bCs/>
                <w:color w:val="FFFFFF"/>
                <w:lang w:val="uk-UA"/>
              </w:rPr>
              <w:t>2</w:t>
            </w:r>
          </w:p>
        </w:tc>
        <w:tc>
          <w:tcPr>
            <w:tcW w:w="1629"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lang w:val="uk-UA"/>
              </w:rPr>
            </w:pPr>
            <w:r w:rsidRPr="00DD262C">
              <w:rPr>
                <w:rFonts w:ascii="Times New Roman" w:hAnsi="Times New Roman" w:cs="Times New Roman"/>
                <w:b/>
                <w:bCs/>
                <w:color w:val="FFFFFF"/>
                <w:lang w:val="uk-UA"/>
              </w:rPr>
              <w:t>3</w:t>
            </w:r>
          </w:p>
        </w:tc>
        <w:tc>
          <w:tcPr>
            <w:tcW w:w="1701"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lang w:val="uk-UA"/>
              </w:rPr>
            </w:pPr>
            <w:r w:rsidRPr="00DD262C">
              <w:rPr>
                <w:rFonts w:ascii="Times New Roman" w:hAnsi="Times New Roman" w:cs="Times New Roman"/>
                <w:b/>
                <w:bCs/>
                <w:color w:val="FFFFFF"/>
                <w:lang w:val="uk-UA"/>
              </w:rPr>
              <w:t>4</w:t>
            </w:r>
          </w:p>
        </w:tc>
        <w:tc>
          <w:tcPr>
            <w:tcW w:w="1464" w:type="dxa"/>
            <w:tcBorders>
              <w:top w:val="nil"/>
              <w:left w:val="nil"/>
              <w:bottom w:val="single" w:sz="8" w:space="0" w:color="auto"/>
              <w:right w:val="single" w:sz="8" w:space="0" w:color="auto"/>
            </w:tcBorders>
            <w:shd w:val="clear" w:color="000000" w:fill="3366FF"/>
            <w:vAlign w:val="center"/>
            <w:hideMark/>
          </w:tcPr>
          <w:p w:rsidR="00DD262C" w:rsidRPr="00DD262C" w:rsidRDefault="00DD262C" w:rsidP="00B80E44">
            <w:pPr>
              <w:jc w:val="right"/>
              <w:rPr>
                <w:rFonts w:ascii="Times New Roman" w:hAnsi="Times New Roman" w:cs="Times New Roman"/>
                <w:b/>
                <w:bCs/>
                <w:color w:val="FFFFFF"/>
                <w:lang w:val="uk-UA"/>
              </w:rPr>
            </w:pPr>
            <w:r w:rsidRPr="00DD262C">
              <w:rPr>
                <w:rFonts w:ascii="Times New Roman" w:hAnsi="Times New Roman" w:cs="Times New Roman"/>
                <w:b/>
                <w:bCs/>
                <w:color w:val="FFFFFF"/>
                <w:lang w:val="uk-UA"/>
              </w:rPr>
              <w:t>5</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w:t>
            </w:r>
          </w:p>
        </w:tc>
        <w:tc>
          <w:tcPr>
            <w:tcW w:w="388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Земельна ділянка, Київська обл., Макарівський р., с. Мостище, вулиця Озерна, 322784701:01:011:0173</w:t>
            </w:r>
          </w:p>
        </w:tc>
        <w:tc>
          <w:tcPr>
            <w:tcW w:w="1629"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690,0</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2</w:t>
            </w:r>
          </w:p>
        </w:tc>
        <w:tc>
          <w:tcPr>
            <w:tcW w:w="388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Земельна ділянка, Київська обл., Макарівський р., с.Мостище,вулиця Озерна, 322784701:01:011:0174</w:t>
            </w:r>
          </w:p>
        </w:tc>
        <w:tc>
          <w:tcPr>
            <w:tcW w:w="1629"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690,0</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hideMark/>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3</w:t>
            </w:r>
          </w:p>
        </w:tc>
        <w:tc>
          <w:tcPr>
            <w:tcW w:w="3880" w:type="dxa"/>
            <w:tcBorders>
              <w:top w:val="nil"/>
              <w:left w:val="nil"/>
              <w:bottom w:val="single" w:sz="8" w:space="0" w:color="auto"/>
              <w:right w:val="single" w:sz="8" w:space="0" w:color="auto"/>
            </w:tcBorders>
            <w:shd w:val="clear" w:color="auto" w:fill="auto"/>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Земельна ділянка, Київська обл., Макарівський р., с.Мостище,вулиця Озерна, 322784701:01:011:0175</w:t>
            </w:r>
          </w:p>
        </w:tc>
        <w:tc>
          <w:tcPr>
            <w:tcW w:w="1629"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761,5</w:t>
            </w:r>
          </w:p>
        </w:tc>
        <w:tc>
          <w:tcPr>
            <w:tcW w:w="1464" w:type="dxa"/>
            <w:tcBorders>
              <w:top w:val="nil"/>
              <w:left w:val="nil"/>
              <w:bottom w:val="single" w:sz="8" w:space="0" w:color="auto"/>
              <w:right w:val="single" w:sz="8" w:space="0" w:color="auto"/>
            </w:tcBorders>
            <w:shd w:val="clear" w:color="auto" w:fill="auto"/>
            <w:noWrap/>
            <w:vAlign w:val="bottom"/>
            <w:hideMark/>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690,0</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4</w:t>
            </w:r>
          </w:p>
        </w:tc>
        <w:tc>
          <w:tcPr>
            <w:tcW w:w="3880" w:type="dxa"/>
            <w:tcBorders>
              <w:top w:val="nil"/>
              <w:left w:val="nil"/>
              <w:bottom w:val="single" w:sz="8" w:space="0" w:color="auto"/>
              <w:right w:val="single" w:sz="8" w:space="0" w:color="auto"/>
            </w:tcBorders>
            <w:shd w:val="clear" w:color="auto" w:fill="auto"/>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Земельна ділянка, Київська обл., м.Ірпінь, смт.Гостомель, 321045900:01:076:0102</w:t>
            </w:r>
          </w:p>
        </w:tc>
        <w:tc>
          <w:tcPr>
            <w:tcW w:w="1629"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17250,0</w:t>
            </w:r>
          </w:p>
        </w:tc>
        <w:tc>
          <w:tcPr>
            <w:tcW w:w="1464"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20 350,00</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Земельна ділянка, Київська обл., Макарівський р-н, с/рада Гружчанська, 3222782100-03-014-0032</w:t>
            </w:r>
          </w:p>
        </w:tc>
        <w:tc>
          <w:tcPr>
            <w:tcW w:w="1629"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3090,,0</w:t>
            </w:r>
          </w:p>
        </w:tc>
        <w:tc>
          <w:tcPr>
            <w:tcW w:w="1464"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3 070,0</w:t>
            </w:r>
          </w:p>
        </w:tc>
      </w:tr>
      <w:tr w:rsidR="00DD262C" w:rsidRPr="00DD262C" w:rsidTr="00B80E44">
        <w:trPr>
          <w:trHeight w:val="915"/>
        </w:trPr>
        <w:tc>
          <w:tcPr>
            <w:tcW w:w="760" w:type="dxa"/>
            <w:tcBorders>
              <w:top w:val="nil"/>
              <w:left w:val="single" w:sz="8" w:space="0" w:color="auto"/>
              <w:bottom w:val="single" w:sz="8"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5</w:t>
            </w:r>
          </w:p>
          <w:p w:rsidR="00DD262C" w:rsidRPr="00DD262C" w:rsidRDefault="00DD262C" w:rsidP="00B80E44">
            <w:pPr>
              <w:jc w:val="center"/>
              <w:rPr>
                <w:rFonts w:ascii="Times New Roman" w:hAnsi="Times New Roman" w:cs="Times New Roman"/>
                <w:lang w:val="uk-UA"/>
              </w:rPr>
            </w:pPr>
          </w:p>
        </w:tc>
        <w:tc>
          <w:tcPr>
            <w:tcW w:w="3880" w:type="dxa"/>
            <w:tcBorders>
              <w:top w:val="nil"/>
              <w:left w:val="nil"/>
              <w:bottom w:val="single" w:sz="8" w:space="0" w:color="auto"/>
              <w:right w:val="single" w:sz="8" w:space="0" w:color="auto"/>
            </w:tcBorders>
            <w:shd w:val="clear" w:color="auto" w:fill="auto"/>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Квартира, об`єкт нерухомості, м.Київ, проспект Перемоги, буд.2, кв.75, 57,5м/кв.</w:t>
            </w:r>
          </w:p>
        </w:tc>
        <w:tc>
          <w:tcPr>
            <w:tcW w:w="1629"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1555,9</w:t>
            </w:r>
          </w:p>
        </w:tc>
        <w:tc>
          <w:tcPr>
            <w:tcW w:w="1464"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2 700,0</w:t>
            </w:r>
          </w:p>
        </w:tc>
      </w:tr>
      <w:tr w:rsidR="00DD262C" w:rsidRPr="00DD262C" w:rsidTr="00B80E44">
        <w:trPr>
          <w:trHeight w:val="915"/>
        </w:trPr>
        <w:tc>
          <w:tcPr>
            <w:tcW w:w="760" w:type="dxa"/>
            <w:tcBorders>
              <w:top w:val="single" w:sz="8" w:space="0" w:color="auto"/>
              <w:left w:val="single" w:sz="8" w:space="0" w:color="auto"/>
              <w:bottom w:val="single" w:sz="4" w:space="0" w:color="auto"/>
              <w:right w:val="single" w:sz="8" w:space="0" w:color="auto"/>
            </w:tcBorders>
            <w:shd w:val="clear" w:color="auto" w:fill="auto"/>
            <w:noWrap/>
            <w:vAlign w:val="bottom"/>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6</w:t>
            </w:r>
          </w:p>
        </w:tc>
        <w:tc>
          <w:tcPr>
            <w:tcW w:w="3880" w:type="dxa"/>
            <w:tcBorders>
              <w:top w:val="nil"/>
              <w:left w:val="nil"/>
              <w:bottom w:val="single" w:sz="8" w:space="0" w:color="auto"/>
              <w:right w:val="single" w:sz="8" w:space="0" w:color="auto"/>
            </w:tcBorders>
            <w:shd w:val="clear" w:color="auto" w:fill="auto"/>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Квартира, об`єкт нерухомості, Квартира, Глушкова, 9Д</w:t>
            </w:r>
          </w:p>
        </w:tc>
        <w:tc>
          <w:tcPr>
            <w:tcW w:w="1629"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Інвестиційна</w:t>
            </w:r>
          </w:p>
        </w:tc>
        <w:tc>
          <w:tcPr>
            <w:tcW w:w="1701"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2930,0</w:t>
            </w:r>
          </w:p>
        </w:tc>
        <w:tc>
          <w:tcPr>
            <w:tcW w:w="1464" w:type="dxa"/>
            <w:tcBorders>
              <w:top w:val="nil"/>
              <w:left w:val="nil"/>
              <w:bottom w:val="single" w:sz="8" w:space="0" w:color="auto"/>
              <w:right w:val="single" w:sz="8" w:space="0" w:color="auto"/>
            </w:tcBorders>
            <w:shd w:val="clear" w:color="auto" w:fill="auto"/>
            <w:noWrap/>
            <w:vAlign w:val="bottom"/>
          </w:tcPr>
          <w:p w:rsidR="00DD262C" w:rsidRPr="00DD262C" w:rsidRDefault="00DD262C" w:rsidP="00B80E44">
            <w:pPr>
              <w:jc w:val="right"/>
              <w:rPr>
                <w:rFonts w:ascii="Times New Roman" w:hAnsi="Times New Roman" w:cs="Times New Roman"/>
                <w:lang w:val="uk-UA"/>
              </w:rPr>
            </w:pPr>
            <w:r w:rsidRPr="00DD262C">
              <w:rPr>
                <w:rFonts w:ascii="Times New Roman" w:hAnsi="Times New Roman" w:cs="Times New Roman"/>
                <w:lang w:val="uk-UA"/>
              </w:rPr>
              <w:t>3 370,0</w:t>
            </w:r>
          </w:p>
        </w:tc>
      </w:tr>
    </w:tbl>
    <w:p w:rsidR="00DD262C" w:rsidRPr="00DD262C" w:rsidRDefault="00DD262C" w:rsidP="00DD262C">
      <w:pPr>
        <w:pStyle w:val="a3"/>
        <w:ind w:right="0" w:firstLine="540"/>
      </w:pPr>
      <w:bookmarkStart w:id="7" w:name="_Toc320725127"/>
      <w:bookmarkStart w:id="8" w:name="_Ref320721349"/>
    </w:p>
    <w:p w:rsidR="00DD262C" w:rsidRPr="00DD262C" w:rsidRDefault="00DD262C" w:rsidP="00DD262C">
      <w:pPr>
        <w:pStyle w:val="a3"/>
        <w:ind w:right="0" w:firstLine="540"/>
        <w:rPr>
          <w:sz w:val="22"/>
          <w:szCs w:val="22"/>
          <w:lang w:eastAsia="ru-RU"/>
        </w:rPr>
      </w:pPr>
      <w:r w:rsidRPr="00DD262C">
        <w:t xml:space="preserve">Дохід від інвестиційної нерухомості в 2022 році складає 24 ,0 тис.грн. від надання в оренду приміщення за адресою м.Київ, вул. </w:t>
      </w:r>
      <w:r w:rsidRPr="00DD262C">
        <w:rPr>
          <w:sz w:val="22"/>
          <w:szCs w:val="22"/>
          <w:lang w:eastAsia="ru-RU"/>
        </w:rPr>
        <w:t xml:space="preserve"> Глушкова, 9Д.</w:t>
      </w:r>
    </w:p>
    <w:p w:rsidR="00DD262C" w:rsidRPr="00DD262C" w:rsidRDefault="00DD262C" w:rsidP="00DD262C">
      <w:pPr>
        <w:pStyle w:val="a3"/>
        <w:ind w:right="0" w:firstLine="540"/>
        <w:rPr>
          <w:sz w:val="22"/>
          <w:szCs w:val="22"/>
          <w:lang w:eastAsia="ru-RU"/>
        </w:rPr>
      </w:pPr>
      <w:r w:rsidRPr="00DD262C">
        <w:rPr>
          <w:sz w:val="22"/>
          <w:szCs w:val="22"/>
          <w:lang w:eastAsia="ru-RU"/>
        </w:rPr>
        <w:t>В приміщенні за адресою  м.Київ, проспект Перемоги, буд.2, кв.75, 57,5м/кв. для отримання дохіду від оренди, проводяться ремонтні работи.</w:t>
      </w:r>
    </w:p>
    <w:p w:rsidR="00DD262C" w:rsidRPr="00DD262C" w:rsidRDefault="00DD262C" w:rsidP="00DD262C">
      <w:pPr>
        <w:pStyle w:val="a3"/>
        <w:ind w:right="0" w:firstLine="540"/>
        <w:rPr>
          <w:sz w:val="22"/>
          <w:szCs w:val="22"/>
          <w:lang w:eastAsia="ru-RU"/>
        </w:rPr>
      </w:pPr>
    </w:p>
    <w:p w:rsidR="00DD262C" w:rsidRPr="00DD262C" w:rsidRDefault="00DD262C" w:rsidP="00DD262C">
      <w:pPr>
        <w:pStyle w:val="a3"/>
        <w:ind w:right="0" w:firstLine="540"/>
        <w:rPr>
          <w:sz w:val="22"/>
          <w:szCs w:val="22"/>
          <w:lang w:eastAsia="ru-RU"/>
        </w:rPr>
      </w:pPr>
      <w:r w:rsidRPr="00DD262C">
        <w:rPr>
          <w:sz w:val="22"/>
          <w:szCs w:val="22"/>
          <w:lang w:eastAsia="ru-RU"/>
        </w:rPr>
        <w:t xml:space="preserve">Також для отримання прибутку від земельних ділянок Кампанія розробляє пректні документи для забудови житлових приміщень. </w:t>
      </w:r>
    </w:p>
    <w:p w:rsidR="00DD262C" w:rsidRPr="00DD262C" w:rsidRDefault="00DD262C" w:rsidP="00DD262C">
      <w:pPr>
        <w:pStyle w:val="1"/>
        <w:numPr>
          <w:ilvl w:val="0"/>
          <w:numId w:val="0"/>
        </w:numPr>
        <w:tabs>
          <w:tab w:val="num" w:pos="3627"/>
        </w:tabs>
        <w:rPr>
          <w:i/>
          <w:sz w:val="24"/>
        </w:rPr>
      </w:pPr>
      <w:r w:rsidRPr="00DD262C">
        <w:rPr>
          <w:i/>
          <w:sz w:val="24"/>
        </w:rPr>
        <w:t>6.3.  Фінансові активи.</w:t>
      </w:r>
    </w:p>
    <w:p w:rsidR="00DD262C" w:rsidRPr="00DD262C" w:rsidRDefault="00DD262C" w:rsidP="00DD262C">
      <w:pPr>
        <w:pStyle w:val="1"/>
        <w:numPr>
          <w:ilvl w:val="0"/>
          <w:numId w:val="0"/>
        </w:numPr>
        <w:tabs>
          <w:tab w:val="num" w:pos="3627"/>
        </w:tabs>
        <w:rPr>
          <w:i/>
          <w:sz w:val="24"/>
        </w:rPr>
      </w:pPr>
      <w:r w:rsidRPr="00DD262C">
        <w:rPr>
          <w:i/>
          <w:sz w:val="24"/>
        </w:rPr>
        <w:t>6.3.1. Довгострокові фінансові інвестиції</w:t>
      </w:r>
    </w:p>
    <w:p w:rsidR="00DD262C" w:rsidRPr="00DD262C" w:rsidRDefault="00DD262C" w:rsidP="00DD262C">
      <w:pPr>
        <w:pStyle w:val="1"/>
        <w:numPr>
          <w:ilvl w:val="0"/>
          <w:numId w:val="0"/>
        </w:numPr>
        <w:tabs>
          <w:tab w:val="num" w:pos="3627"/>
        </w:tabs>
        <w:rPr>
          <w:i/>
          <w:sz w:val="24"/>
        </w:rPr>
      </w:pPr>
      <w:r w:rsidRPr="00DD262C">
        <w:rPr>
          <w:i/>
          <w:sz w:val="24"/>
        </w:rPr>
        <w:t xml:space="preserve"> Фінансові активи,  що обліковуються за методом участі в капіталі.</w:t>
      </w:r>
    </w:p>
    <w:p w:rsidR="00DD262C" w:rsidRPr="00DD262C" w:rsidRDefault="00DD262C" w:rsidP="00DD262C">
      <w:pPr>
        <w:pStyle w:val="ac"/>
        <w:ind w:firstLine="709"/>
        <w:rPr>
          <w:sz w:val="24"/>
          <w:szCs w:val="24"/>
          <w:lang w:val="uk-UA"/>
        </w:rPr>
      </w:pPr>
      <w:r w:rsidRPr="00DD262C">
        <w:rPr>
          <w:sz w:val="24"/>
          <w:szCs w:val="24"/>
          <w:lang w:val="uk-UA"/>
        </w:rPr>
        <w:t xml:space="preserve">Станом на 31.12..2022 року на балансі Компанії обліковуються внески до статутних капіталів інших підприємств  за методом участі в капіталв сумі 746,0 тис.грн. </w:t>
      </w:r>
    </w:p>
    <w:p w:rsidR="00DD262C" w:rsidRPr="00DD262C" w:rsidRDefault="00DD262C" w:rsidP="00DD262C">
      <w:pPr>
        <w:pStyle w:val="ac"/>
        <w:ind w:firstLine="709"/>
        <w:rPr>
          <w:sz w:val="24"/>
          <w:szCs w:val="24"/>
          <w:lang w:val="uk-UA"/>
        </w:rPr>
      </w:pPr>
      <w:r w:rsidRPr="00DD262C">
        <w:rPr>
          <w:sz w:val="24"/>
          <w:szCs w:val="24"/>
          <w:lang w:val="uk-UA"/>
        </w:rPr>
        <w:t>н</w:t>
      </w:r>
      <w:r w:rsidRPr="00DD262C">
        <w:rPr>
          <w:bCs/>
          <w:sz w:val="24"/>
          <w:szCs w:val="24"/>
          <w:lang w:val="uk-UA" w:eastAsia="ru-RU"/>
        </w:rPr>
        <w:t xml:space="preserve">а підставі рішення </w:t>
      </w:r>
      <w:r w:rsidRPr="00DD262C">
        <w:rPr>
          <w:bCs/>
          <w:spacing w:val="5"/>
          <w:sz w:val="24"/>
          <w:szCs w:val="24"/>
          <w:lang w:val="uk-UA" w:eastAsia="ru-RU"/>
        </w:rPr>
        <w:t>№5 загальних зборів учасників ТОВ «Базис Центр»</w:t>
      </w:r>
      <w:r w:rsidRPr="00DD262C">
        <w:rPr>
          <w:sz w:val="24"/>
          <w:szCs w:val="24"/>
          <w:lang w:val="uk-UA"/>
        </w:rPr>
        <w:t xml:space="preserve"> (ЄДРПОУ 40619070, країна реєстрації Україна)</w:t>
      </w:r>
      <w:r w:rsidRPr="00DD262C">
        <w:rPr>
          <w:bCs/>
          <w:spacing w:val="5"/>
          <w:sz w:val="24"/>
          <w:szCs w:val="24"/>
          <w:lang w:val="uk-UA" w:eastAsia="ru-RU"/>
        </w:rPr>
        <w:t xml:space="preserve"> від 05.12.2018 року</w:t>
      </w:r>
      <w:r w:rsidRPr="00DD262C">
        <w:rPr>
          <w:sz w:val="24"/>
          <w:szCs w:val="24"/>
          <w:lang w:val="uk-UA"/>
        </w:rPr>
        <w:t xml:space="preserve"> зареєстрована частка ПрАТ «СК «Сатіс» у статутному капіталі 1000,0 тис.грн., що становить 80% (фактично сплачено 700,0 тис.грн.). .</w:t>
      </w:r>
      <w:r w:rsidRPr="00DD262C">
        <w:rPr>
          <w:bCs/>
          <w:spacing w:val="5"/>
          <w:sz w:val="24"/>
          <w:szCs w:val="24"/>
          <w:lang w:val="uk-UA" w:eastAsia="ru-RU"/>
        </w:rPr>
        <w:t xml:space="preserve"> ТОВ «Базис Центр» в 2022 році отримало прибуток у сумі 8,6 тис.грн. Прибуток від участі в капіталі СК «САТІС» склав . 7,0 тис.грн.</w:t>
      </w:r>
    </w:p>
    <w:p w:rsidR="00DD262C" w:rsidRPr="00DD262C" w:rsidRDefault="00DD262C" w:rsidP="00DD262C">
      <w:pPr>
        <w:pStyle w:val="ac"/>
        <w:ind w:firstLine="709"/>
        <w:rPr>
          <w:sz w:val="24"/>
          <w:szCs w:val="24"/>
          <w:lang w:val="uk-UA"/>
        </w:rPr>
      </w:pP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 рік</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6"/>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Iнвестицiї пов'язаним сторонам за методом облiку участi в капiталi</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746,0</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739,0</w:t>
            </w:r>
          </w:p>
        </w:tc>
      </w:tr>
    </w:tbl>
    <w:p w:rsidR="00DD262C" w:rsidRPr="00DD262C" w:rsidRDefault="00DD262C" w:rsidP="00DD262C">
      <w:pPr>
        <w:shd w:val="clear" w:color="auto" w:fill="FFFFFF"/>
        <w:tabs>
          <w:tab w:val="left" w:pos="993"/>
        </w:tabs>
        <w:ind w:firstLine="992"/>
        <w:jc w:val="both"/>
        <w:rPr>
          <w:rFonts w:ascii="Times New Roman" w:hAnsi="Times New Roman" w:cs="Times New Roman"/>
          <w:bCs/>
          <w:spacing w:val="5"/>
          <w:lang w:val="uk-UA"/>
        </w:rPr>
      </w:pPr>
    </w:p>
    <w:p w:rsidR="00DD262C" w:rsidRPr="00DD262C" w:rsidRDefault="00DD262C" w:rsidP="00DD262C">
      <w:pPr>
        <w:shd w:val="clear" w:color="auto" w:fill="FFFFFF"/>
        <w:tabs>
          <w:tab w:val="left" w:pos="993"/>
        </w:tabs>
        <w:ind w:firstLine="992"/>
        <w:jc w:val="both"/>
        <w:rPr>
          <w:rFonts w:ascii="Times New Roman" w:hAnsi="Times New Roman" w:cs="Times New Roman"/>
          <w:b/>
          <w:i/>
          <w:lang w:val="uk-UA"/>
        </w:rPr>
      </w:pPr>
      <w:r w:rsidRPr="00DD262C">
        <w:rPr>
          <w:rFonts w:ascii="Times New Roman" w:hAnsi="Times New Roman" w:cs="Times New Roman"/>
          <w:bCs/>
          <w:spacing w:val="5"/>
          <w:lang w:val="uk-UA"/>
        </w:rPr>
        <w:t xml:space="preserve">Дані інвестиції були проведені з метою розроблення та впровадження високотехнологічного устаткування, іншої інноваційної   продукції, ресурсної енергозберігаючих технологій, відповідно до вимог Постанови КМУ від 17 серпня 2002 р. N 1211 </w:t>
      </w:r>
      <w:bookmarkStart w:id="9" w:name="o3"/>
      <w:bookmarkEnd w:id="9"/>
      <w:r w:rsidRPr="00DD262C">
        <w:rPr>
          <w:rFonts w:ascii="Times New Roman" w:hAnsi="Times New Roman" w:cs="Times New Roman"/>
          <w:bCs/>
          <w:spacing w:val="5"/>
          <w:lang w:val="uk-UA"/>
        </w:rPr>
        <w:t>«Про затвердження напрямів інвестування галузей економіки за рахунок коштів страхових резервів». Ці інвестиції вважаються і</w:t>
      </w:r>
      <w:r w:rsidRPr="00DD262C">
        <w:rPr>
          <w:rFonts w:ascii="Times New Roman" w:hAnsi="Times New Roman" w:cs="Times New Roman"/>
          <w:bCs/>
          <w:color w:val="000000"/>
          <w:shd w:val="clear" w:color="auto" w:fill="FFFFFF"/>
          <w:lang w:val="uk-UA"/>
        </w:rPr>
        <w:t>нвестиціями в асоційовані підприємства, Компанія не має суттєвого впливу на діяльність цих Підприємств, тому було</w:t>
      </w:r>
      <w:r w:rsidRPr="00DD262C">
        <w:rPr>
          <w:rFonts w:ascii="Times New Roman" w:hAnsi="Times New Roman" w:cs="Times New Roman"/>
          <w:b/>
          <w:bCs/>
          <w:color w:val="000000"/>
          <w:shd w:val="clear" w:color="auto" w:fill="FFFFFF"/>
          <w:lang w:val="uk-UA"/>
        </w:rPr>
        <w:t xml:space="preserve"> п</w:t>
      </w:r>
      <w:r w:rsidRPr="00DD262C">
        <w:rPr>
          <w:rFonts w:ascii="Times New Roman" w:hAnsi="Times New Roman" w:cs="Times New Roman"/>
          <w:bCs/>
          <w:color w:val="000000"/>
          <w:shd w:val="clear" w:color="auto" w:fill="FFFFFF"/>
          <w:lang w:val="uk-UA"/>
        </w:rPr>
        <w:t xml:space="preserve">рийнято рішення не складати консолідовану звітність за звітній період, ця звітність є єдина, що подається Компанією. </w:t>
      </w:r>
    </w:p>
    <w:p w:rsidR="00DD262C" w:rsidRPr="00DD262C" w:rsidRDefault="00DD262C" w:rsidP="00DD262C">
      <w:pPr>
        <w:ind w:firstLine="540"/>
        <w:contextualSpacing/>
        <w:jc w:val="both"/>
        <w:rPr>
          <w:rFonts w:ascii="Times New Roman" w:hAnsi="Times New Roman" w:cs="Times New Roman"/>
          <w:b/>
          <w:i/>
          <w:lang w:val="uk-UA"/>
        </w:rPr>
      </w:pPr>
      <w:r w:rsidRPr="00DD262C">
        <w:rPr>
          <w:rFonts w:ascii="Times New Roman" w:hAnsi="Times New Roman" w:cs="Times New Roman"/>
          <w:b/>
          <w:i/>
          <w:lang w:val="uk-UA"/>
        </w:rPr>
        <w:t xml:space="preserve">6.4. Оренда </w:t>
      </w:r>
    </w:p>
    <w:p w:rsidR="00DD262C" w:rsidRPr="00DD262C" w:rsidRDefault="00DD262C" w:rsidP="00DD262C">
      <w:pPr>
        <w:ind w:firstLine="540"/>
        <w:contextualSpacing/>
        <w:jc w:val="both"/>
        <w:rPr>
          <w:rFonts w:ascii="Times New Roman" w:hAnsi="Times New Roman" w:cs="Times New Roman"/>
          <w:color w:val="000000"/>
          <w:lang w:val="uk-UA"/>
        </w:rPr>
      </w:pP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Станом на 31.12.202 2р. Компанія має договори оренди:</w:t>
      </w: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Короткострокові договори оренди – 3 шт. на суму 292,5,0  тис.грн..</w:t>
      </w: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Договори оренди низької вартості – 5 шт. на суму 29, 9 тис. грн.</w:t>
      </w:r>
    </w:p>
    <w:p w:rsidR="00DD262C" w:rsidRPr="00DD262C" w:rsidRDefault="00DD262C" w:rsidP="00DD262C">
      <w:pPr>
        <w:ind w:firstLine="540"/>
        <w:contextualSpacing/>
        <w:jc w:val="both"/>
        <w:rPr>
          <w:rFonts w:ascii="Times New Roman" w:hAnsi="Times New Roman" w:cs="Times New Roman"/>
          <w:lang w:val="uk-UA"/>
        </w:rPr>
      </w:pPr>
    </w:p>
    <w:p w:rsidR="00DD262C" w:rsidRPr="00DD262C" w:rsidRDefault="00DD262C" w:rsidP="00DD262C">
      <w:pPr>
        <w:pStyle w:val="ABC-paragrahinNotes"/>
        <w:spacing w:after="0"/>
        <w:ind w:firstLine="539"/>
        <w:rPr>
          <w:rFonts w:ascii="Times New Roman" w:hAnsi="Times New Roman"/>
          <w:bCs/>
          <w:iCs/>
          <w:color w:val="000000"/>
          <w:lang w:val="uk-UA" w:eastAsia="sk-SK"/>
        </w:rPr>
      </w:pPr>
      <w:r w:rsidRPr="00DD262C">
        <w:rPr>
          <w:rFonts w:ascii="Times New Roman" w:hAnsi="Times New Roman"/>
          <w:bCs/>
          <w:iCs/>
          <w:color w:val="000000"/>
          <w:lang w:val="uk-UA" w:eastAsia="sk-SK"/>
        </w:rPr>
        <w:t xml:space="preserve">Враховуючи, що Компанія укладає короткострокові договори оренди та/або об’єкти оренди є низької вартості , управлінський персонал прийняв рішення про відсутність підстав  для застосування МСФЗ 16 «Оренда». Компанія вважає, що застосування цього стандарту не матиме суттєвого впливу на цю фінансову звітність. Орендні платежі визнаються витратами на прямолінійній основі. </w:t>
      </w:r>
    </w:p>
    <w:bookmarkEnd w:id="7"/>
    <w:bookmarkEnd w:id="8"/>
    <w:p w:rsidR="00DD262C" w:rsidRDefault="00DD262C" w:rsidP="00DD262C">
      <w:pPr>
        <w:ind w:firstLine="709"/>
        <w:jc w:val="both"/>
        <w:rPr>
          <w:rFonts w:ascii="Times New Roman" w:hAnsi="Times New Roman" w:cs="Times New Roman"/>
          <w:b/>
          <w:i/>
          <w:lang w:val="uk-UA"/>
        </w:rPr>
      </w:pPr>
    </w:p>
    <w:p w:rsidR="00DD262C" w:rsidRPr="00DD262C" w:rsidRDefault="00DD262C" w:rsidP="00DD262C">
      <w:pPr>
        <w:ind w:firstLine="709"/>
        <w:jc w:val="both"/>
        <w:rPr>
          <w:rFonts w:ascii="Times New Roman" w:hAnsi="Times New Roman" w:cs="Times New Roman"/>
          <w:b/>
          <w:i/>
          <w:lang w:val="uk-UA"/>
        </w:rPr>
      </w:pPr>
      <w:r w:rsidRPr="00DD262C">
        <w:rPr>
          <w:rFonts w:ascii="Times New Roman" w:hAnsi="Times New Roman" w:cs="Times New Roman"/>
          <w:b/>
          <w:i/>
          <w:lang w:val="uk-UA"/>
        </w:rPr>
        <w:t>6.5. Запаси</w:t>
      </w:r>
    </w:p>
    <w:p w:rsidR="00DD262C" w:rsidRPr="00DD262C" w:rsidRDefault="00DD262C" w:rsidP="00DD262C">
      <w:pPr>
        <w:pStyle w:val="1"/>
        <w:numPr>
          <w:ilvl w:val="0"/>
          <w:numId w:val="0"/>
        </w:numPr>
        <w:tabs>
          <w:tab w:val="num" w:pos="3627"/>
        </w:tabs>
        <w:rPr>
          <w:sz w:val="24"/>
        </w:rPr>
      </w:pPr>
      <w:r w:rsidRPr="00DD262C">
        <w:rPr>
          <w:b w:val="0"/>
          <w:sz w:val="24"/>
        </w:rPr>
        <w:t>Станом на 31.12.2022 р. Компанією було проведено оцінку вартості запасів на відповідність їх вартості вимогам МСБО 2. Балансова вартість запасів не перевищує чистої вартості їх реалізації</w:t>
      </w:r>
      <w:r w:rsidRPr="00DD262C">
        <w:rPr>
          <w:sz w:val="24"/>
        </w:rPr>
        <w:t>.</w:t>
      </w:r>
    </w:p>
    <w:p w:rsidR="00DD262C" w:rsidRPr="00DD262C" w:rsidRDefault="00DD262C" w:rsidP="00DD262C">
      <w:pPr>
        <w:ind w:left="6381" w:firstLine="709"/>
        <w:jc w:val="both"/>
        <w:rPr>
          <w:rFonts w:ascii="Times New Roman" w:hAnsi="Times New Roman" w:cs="Times New Roman"/>
          <w:sz w:val="20"/>
          <w:lang w:val="uk-UA"/>
        </w:rPr>
      </w:pPr>
      <w:r w:rsidRPr="00DD262C">
        <w:rPr>
          <w:rFonts w:ascii="Times New Roman" w:hAnsi="Times New Roman" w:cs="Times New Roman"/>
          <w:szCs w:val="18"/>
          <w:lang w:val="uk-UA"/>
        </w:rPr>
        <w:t>Таб.6.5. (тис. грн.)</w:t>
      </w:r>
    </w:p>
    <w:tbl>
      <w:tblPr>
        <w:tblW w:w="3978"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5022"/>
        <w:gridCol w:w="1093"/>
        <w:gridCol w:w="1093"/>
      </w:tblGrid>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 рік</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 рік</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31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69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66"/>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rPr>
          <w:trHeight w:val="585"/>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Разом залишки запасів на кінець року, в тому числі:</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4,0</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46</w:t>
            </w:r>
          </w:p>
        </w:tc>
      </w:tr>
      <w:tr w:rsidR="00DD262C" w:rsidRPr="00DD262C" w:rsidTr="00B80E44">
        <w:trPr>
          <w:trHeight w:val="50"/>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1.2.</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Матеріали</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2,1</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15,7</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1.3.</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Паливо</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1,9</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14,2</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1.4.</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Запасні частини</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9,6</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1.5</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Інші запаси</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6,5</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Капітальні інвестиції (ремонт)</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346,8</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Віднесено на витрати запасів в поточному році</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142,3</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233,0</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Списано запасів протягом поточного року</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r>
      <w:tr w:rsidR="00DD262C" w:rsidRPr="00DD262C" w:rsidTr="00B80E44">
        <w:trPr>
          <w:jc w:val="center"/>
        </w:trPr>
        <w:tc>
          <w:tcPr>
            <w:tcW w:w="44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5</w:t>
            </w:r>
          </w:p>
        </w:tc>
        <w:tc>
          <w:tcPr>
            <w:tcW w:w="31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Вартість запасів в заставі</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c>
          <w:tcPr>
            <w:tcW w:w="69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66"/>
              <w:jc w:val="center"/>
              <w:rPr>
                <w:rFonts w:ascii="Times New Roman" w:hAnsi="Times New Roman" w:cs="Times New Roman"/>
                <w:lang w:val="uk-UA"/>
              </w:rPr>
            </w:pPr>
            <w:r w:rsidRPr="00DD262C">
              <w:rPr>
                <w:rFonts w:ascii="Times New Roman" w:hAnsi="Times New Roman" w:cs="Times New Roman"/>
                <w:lang w:val="uk-UA"/>
              </w:rPr>
              <w:t>-</w:t>
            </w:r>
          </w:p>
        </w:tc>
      </w:tr>
    </w:tbl>
    <w:p w:rsidR="00DD262C" w:rsidRPr="00DD262C" w:rsidRDefault="00DD262C" w:rsidP="00DD262C">
      <w:pPr>
        <w:ind w:firstLine="709"/>
        <w:jc w:val="both"/>
        <w:rPr>
          <w:rFonts w:ascii="Times New Roman" w:hAnsi="Times New Roman" w:cs="Times New Roman"/>
          <w:i/>
          <w:lang w:val="uk-UA"/>
        </w:rPr>
      </w:pPr>
      <w:bookmarkStart w:id="10" w:name="_Toc320725118"/>
      <w:bookmarkStart w:id="11" w:name="_Ref320260172"/>
      <w:bookmarkStart w:id="12" w:name="_Ref320031793"/>
      <w:bookmarkStart w:id="13" w:name="_Ref320031769"/>
      <w:bookmarkStart w:id="14" w:name="_Ref113249704"/>
      <w:bookmarkStart w:id="15" w:name="_Ref113247482"/>
    </w:p>
    <w:p w:rsidR="00DD262C" w:rsidRPr="00DD262C" w:rsidRDefault="00DD262C" w:rsidP="00DD262C">
      <w:pPr>
        <w:ind w:firstLine="709"/>
        <w:jc w:val="both"/>
        <w:rPr>
          <w:rFonts w:ascii="Times New Roman" w:eastAsia="Times New Roman" w:hAnsi="Times New Roman" w:cs="Times New Roman"/>
          <w:b/>
          <w:bCs/>
          <w:i/>
          <w:iCs/>
          <w:color w:val="000000" w:themeColor="text1"/>
          <w:lang w:val="uk-UA"/>
        </w:rPr>
      </w:pPr>
      <w:r w:rsidRPr="00DD262C">
        <w:rPr>
          <w:rFonts w:ascii="Times New Roman" w:hAnsi="Times New Roman" w:cs="Times New Roman"/>
          <w:i/>
          <w:lang w:val="uk-UA"/>
        </w:rPr>
        <w:t xml:space="preserve">  </w:t>
      </w:r>
      <w:r w:rsidRPr="00DD262C">
        <w:rPr>
          <w:rFonts w:ascii="Times New Roman" w:eastAsia="Times New Roman" w:hAnsi="Times New Roman" w:cs="Times New Roman"/>
          <w:b/>
          <w:bCs/>
          <w:i/>
          <w:iCs/>
          <w:color w:val="000000" w:themeColor="text1"/>
          <w:lang w:val="uk-UA"/>
        </w:rPr>
        <w:t>6.6. Дебіторська заборгованість</w:t>
      </w:r>
    </w:p>
    <w:p w:rsidR="00DD262C" w:rsidRPr="00DD262C" w:rsidRDefault="00DD262C" w:rsidP="00DD262C">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Визнання, класифікацію та розкриття інформації щодо дебіторської заборгованості Товариство здійснює відповідно до МСФЗ 7 "Фінансові інструменти: розкриття", МСБО 1 "Подання фінансових звітів" та МСФЗ 9 «Фінансові інструменти»</w:t>
      </w:r>
    </w:p>
    <w:p w:rsidR="00DD262C" w:rsidRPr="00DD262C" w:rsidRDefault="00DD262C" w:rsidP="00DD262C">
      <w:pPr>
        <w:shd w:val="clear" w:color="auto" w:fill="FFFFFF"/>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Операційна дебіторська заборгованість – це заборгованість, яка вини</w:t>
      </w:r>
      <w:r w:rsidRPr="00DD262C">
        <w:rPr>
          <w:rFonts w:ascii="Times New Roman" w:eastAsia="Times New Roman" w:hAnsi="Times New Roman" w:cs="Times New Roman"/>
          <w:color w:val="000000" w:themeColor="text1"/>
          <w:lang w:val="uk-UA"/>
        </w:rPr>
        <w:softHyphen/>
        <w:t xml:space="preserve">кає в процесі страхової діяльності Товариства за умови підписання договору та внесення коштів. </w:t>
      </w:r>
    </w:p>
    <w:p w:rsidR="00DD262C" w:rsidRPr="00DD262C" w:rsidRDefault="00DD262C" w:rsidP="00DD262C">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Неопераційна дебіторська заборгованість вини</w:t>
      </w:r>
      <w:r w:rsidRPr="00DD262C">
        <w:rPr>
          <w:rFonts w:ascii="Times New Roman" w:eastAsia="Times New Roman" w:hAnsi="Times New Roman" w:cs="Times New Roman"/>
          <w:color w:val="000000" w:themeColor="text1"/>
          <w:lang w:val="uk-UA"/>
        </w:rPr>
        <w:softHyphen/>
        <w:t xml:space="preserve">кає від операцій, не пов'язаних з операційною діяльністю Товариства. </w:t>
      </w:r>
    </w:p>
    <w:p w:rsidR="00DD262C" w:rsidRPr="00DD262C" w:rsidRDefault="00DD262C" w:rsidP="00DD262C">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Дебіторська заборгованість</w:t>
      </w:r>
      <w:r w:rsidRPr="00DD262C">
        <w:rPr>
          <w:rFonts w:ascii="Times New Roman" w:eastAsia="Times New Roman" w:hAnsi="Times New Roman" w:cs="Times New Roman"/>
          <w:b/>
          <w:bCs/>
          <w:color w:val="000000" w:themeColor="text1"/>
          <w:lang w:val="uk-UA"/>
        </w:rPr>
        <w:t xml:space="preserve"> </w:t>
      </w:r>
      <w:r w:rsidRPr="00DD262C">
        <w:rPr>
          <w:rFonts w:ascii="Times New Roman" w:eastAsia="Times New Roman" w:hAnsi="Times New Roman" w:cs="Times New Roman"/>
          <w:color w:val="000000" w:themeColor="text1"/>
          <w:lang w:val="uk-UA"/>
        </w:rPr>
        <w:t xml:space="preserve">в балансі виглядає так:                  </w:t>
      </w:r>
    </w:p>
    <w:p w:rsidR="00DD262C" w:rsidRPr="00DD262C" w:rsidRDefault="00DD262C" w:rsidP="00DD262C">
      <w:pPr>
        <w:jc w:val="right"/>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b/>
          <w:bCs/>
          <w:color w:val="000000" w:themeColor="text1"/>
          <w:lang w:val="uk-UA"/>
        </w:rPr>
        <w:t xml:space="preserve">                                         </w:t>
      </w:r>
      <w:r w:rsidRPr="00DD262C">
        <w:rPr>
          <w:rFonts w:ascii="Times New Roman" w:eastAsia="Times New Roman" w:hAnsi="Times New Roman" w:cs="Times New Roman"/>
          <w:color w:val="000000" w:themeColor="text1"/>
          <w:sz w:val="20"/>
          <w:szCs w:val="20"/>
          <w:lang w:val="uk-UA"/>
        </w:rPr>
        <w:t>Таб.6.6.1.(тис. грн.)</w:t>
      </w:r>
    </w:p>
    <w:tbl>
      <w:tblPr>
        <w:tblW w:w="5152" w:type="pct"/>
        <w:jc w:val="center"/>
        <w:tblCellMar>
          <w:left w:w="0" w:type="dxa"/>
          <w:right w:w="0" w:type="dxa"/>
        </w:tblCellMar>
        <w:tblLook w:val="04A0" w:firstRow="1" w:lastRow="0" w:firstColumn="1" w:lastColumn="0" w:noHBand="0" w:noVBand="1"/>
      </w:tblPr>
      <w:tblGrid>
        <w:gridCol w:w="22"/>
        <w:gridCol w:w="7505"/>
        <w:gridCol w:w="8"/>
        <w:gridCol w:w="1410"/>
        <w:gridCol w:w="9"/>
        <w:gridCol w:w="1303"/>
        <w:gridCol w:w="21"/>
      </w:tblGrid>
      <w:tr w:rsidR="00DD262C" w:rsidRPr="00DD262C" w:rsidTr="00B80E44">
        <w:trPr>
          <w:trHeight w:val="727"/>
          <w:jc w:val="center"/>
        </w:trPr>
        <w:tc>
          <w:tcPr>
            <w:tcW w:w="10" w:type="pct"/>
            <w:tcBorders>
              <w:top w:val="nil"/>
              <w:left w:val="nil"/>
              <w:bottom w:val="single" w:sz="12" w:space="0" w:color="auto"/>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3655" w:type="pct"/>
            <w:gridSpan w:val="2"/>
            <w:tcBorders>
              <w:top w:val="single" w:sz="12" w:space="0" w:color="auto"/>
              <w:left w:val="single" w:sz="12" w:space="0" w:color="auto"/>
              <w:bottom w:val="single" w:sz="12" w:space="0" w:color="auto"/>
              <w:right w:val="single" w:sz="12" w:space="0" w:color="auto"/>
            </w:tcBorders>
            <w:shd w:val="clear" w:color="auto" w:fill="3366FF"/>
            <w:tcMar>
              <w:top w:w="0" w:type="dxa"/>
              <w:left w:w="57" w:type="dxa"/>
              <w:bottom w:w="0" w:type="dxa"/>
              <w:right w:w="57"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b/>
                <w:bCs/>
                <w:color w:val="000000" w:themeColor="text1"/>
                <w:lang w:val="uk-UA"/>
              </w:rPr>
              <w:t>Найменування статті</w:t>
            </w:r>
          </w:p>
        </w:tc>
        <w:tc>
          <w:tcPr>
            <w:tcW w:w="690" w:type="pct"/>
            <w:gridSpan w:val="2"/>
            <w:tcBorders>
              <w:top w:val="single" w:sz="12" w:space="0" w:color="auto"/>
              <w:left w:val="nil"/>
              <w:bottom w:val="single" w:sz="12" w:space="0" w:color="auto"/>
              <w:right w:val="single" w:sz="12" w:space="0" w:color="auto"/>
            </w:tcBorders>
            <w:shd w:val="clear" w:color="auto" w:fill="3366FF"/>
            <w:tcMar>
              <w:top w:w="0" w:type="dxa"/>
              <w:left w:w="57" w:type="dxa"/>
              <w:bottom w:w="0" w:type="dxa"/>
              <w:right w:w="57"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b/>
                <w:bCs/>
                <w:color w:val="000000" w:themeColor="text1"/>
                <w:lang w:val="uk-UA"/>
              </w:rPr>
              <w:t>2021 рік</w:t>
            </w:r>
          </w:p>
        </w:tc>
        <w:tc>
          <w:tcPr>
            <w:tcW w:w="645" w:type="pct"/>
            <w:gridSpan w:val="2"/>
            <w:tcBorders>
              <w:top w:val="single" w:sz="12" w:space="0" w:color="auto"/>
              <w:left w:val="nil"/>
              <w:bottom w:val="single" w:sz="12" w:space="0" w:color="auto"/>
              <w:right w:val="single" w:sz="12" w:space="0" w:color="auto"/>
            </w:tcBorders>
            <w:shd w:val="clear" w:color="auto" w:fill="3366FF"/>
            <w:tcMar>
              <w:top w:w="0" w:type="dxa"/>
              <w:left w:w="57" w:type="dxa"/>
              <w:bottom w:w="0" w:type="dxa"/>
              <w:right w:w="57"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b/>
                <w:bCs/>
                <w:color w:val="000000" w:themeColor="text1"/>
                <w:lang w:val="uk-UA"/>
              </w:rPr>
              <w:t>2022 рік</w:t>
            </w: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xml:space="preserve"> Дебіторська заборгованість за товари, роботи, послуги </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62,0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В т.ч. за страховими послугами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62,0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Дебіторська заборгованість за розрахунками: в т.ч.:</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-за виданими авансами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121,0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134,0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з бюджетом</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194,0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211,0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У тому числі з податку на прибуток</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188,0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205,0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Дебіторська заборгованість за нарахованими доходами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0,0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Дебіторська заборгованість із внутрішніх розрахунків</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Інша поточна дебіторська заборгованість</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7559,0</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5634,0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39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У тому числі: невиплачена частка від виходу з учасників Товариства</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7480,4</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5628,0</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246"/>
          <w:jc w:val="center"/>
        </w:trPr>
        <w:tc>
          <w:tcPr>
            <w:tcW w:w="3662" w:type="pct"/>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За розрахунками з постачальниками за товари, роботи, послуги</w:t>
            </w:r>
          </w:p>
        </w:tc>
        <w:tc>
          <w:tcPr>
            <w:tcW w:w="690"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78,6</w:t>
            </w:r>
          </w:p>
        </w:tc>
        <w:tc>
          <w:tcPr>
            <w:tcW w:w="638" w:type="pct"/>
            <w:gridSpan w:val="2"/>
            <w:tcBorders>
              <w:top w:val="nil"/>
              <w:left w:val="nil"/>
              <w:bottom w:val="single" w:sz="12" w:space="0" w:color="auto"/>
              <w:right w:val="single" w:sz="12" w:space="0" w:color="auto"/>
            </w:tcBorders>
            <w:tcMar>
              <w:top w:w="0" w:type="dxa"/>
              <w:left w:w="108" w:type="dxa"/>
              <w:bottom w:w="0" w:type="dxa"/>
              <w:right w:w="108" w:type="dxa"/>
            </w:tcMar>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i/>
                <w:iCs/>
                <w:color w:val="000000" w:themeColor="text1"/>
                <w:lang w:val="uk-UA"/>
              </w:rPr>
              <w:t>-</w:t>
            </w: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jc w:val="center"/>
        </w:trPr>
        <w:tc>
          <w:tcPr>
            <w:tcW w:w="10"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3652"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3"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687"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3"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635"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11" w:type="pct"/>
            <w:tcBorders>
              <w:top w:val="nil"/>
              <w:left w:val="nil"/>
              <w:bottom w:val="nil"/>
              <w:right w:val="nil"/>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bl>
    <w:p w:rsidR="00DD262C" w:rsidRPr="00DD262C" w:rsidRDefault="00DD262C" w:rsidP="00DD262C">
      <w:pPr>
        <w:jc w:val="both"/>
        <w:rPr>
          <w:rFonts w:ascii="Times New Roman" w:eastAsia="Times New Roman" w:hAnsi="Times New Roman" w:cs="Times New Roman"/>
          <w:color w:val="000000" w:themeColor="text1"/>
          <w:lang w:val="uk-UA" w:eastAsia="en-US"/>
        </w:rPr>
      </w:pPr>
      <w:r w:rsidRPr="00DD262C">
        <w:rPr>
          <w:rFonts w:ascii="Times New Roman" w:eastAsia="Times New Roman" w:hAnsi="Times New Roman" w:cs="Times New Roman"/>
          <w:color w:val="000000" w:themeColor="text1"/>
          <w:lang w:val="uk-UA" w:eastAsia="en-US"/>
        </w:rPr>
        <w:t xml:space="preserve">  </w:t>
      </w:r>
      <w:r w:rsidRPr="00DD262C">
        <w:rPr>
          <w:rFonts w:ascii="Times New Roman" w:eastAsia="Times New Roman" w:hAnsi="Times New Roman" w:cs="Times New Roman"/>
          <w:lang w:val="uk-UA"/>
        </w:rPr>
        <w:t>Дебіторська заборгованість поточна, не прострочена</w:t>
      </w:r>
      <w:r w:rsidRPr="00DD262C">
        <w:rPr>
          <w:rFonts w:ascii="Times New Roman" w:eastAsia="Times New Roman" w:hAnsi="Times New Roman" w:cs="Times New Roman"/>
          <w:color w:val="000000" w:themeColor="text1"/>
          <w:lang w:val="uk-UA" w:eastAsia="en-US"/>
        </w:rPr>
        <w:t xml:space="preserve">   </w:t>
      </w:r>
    </w:p>
    <w:p w:rsidR="00DD262C" w:rsidRPr="00DD262C" w:rsidRDefault="00DD262C" w:rsidP="00DD262C">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eastAsia="en-US"/>
        </w:rPr>
        <w:t xml:space="preserve"> В 4 кварталі 2020р. н</w:t>
      </w:r>
      <w:r w:rsidRPr="00DD262C">
        <w:rPr>
          <w:rFonts w:ascii="Times New Roman" w:eastAsia="Times New Roman" w:hAnsi="Times New Roman" w:cs="Times New Roman"/>
          <w:bCs/>
          <w:color w:val="000000" w:themeColor="text1"/>
          <w:lang w:val="uk-UA" w:eastAsia="en-US"/>
        </w:rPr>
        <w:t>а підставі Протоколу №2 Загальних зборів учасників</w:t>
      </w:r>
      <w:r w:rsidRPr="00DD262C">
        <w:rPr>
          <w:rFonts w:ascii="Times New Roman" w:eastAsia="Times New Roman" w:hAnsi="Times New Roman" w:cs="Times New Roman"/>
          <w:bCs/>
          <w:color w:val="000000" w:themeColor="text1"/>
          <w:spacing w:val="5"/>
          <w:lang w:val="uk-UA" w:eastAsia="en-US"/>
        </w:rPr>
        <w:t xml:space="preserve"> від 30.10.2020р. </w:t>
      </w:r>
      <w:r w:rsidRPr="00DD262C">
        <w:rPr>
          <w:rFonts w:ascii="Times New Roman" w:eastAsia="Times New Roman" w:hAnsi="Times New Roman" w:cs="Times New Roman"/>
          <w:color w:val="000000" w:themeColor="text1"/>
          <w:lang w:val="uk-UA" w:eastAsia="en-US"/>
        </w:rPr>
        <w:t xml:space="preserve">Компанія вийшла зі складу учасників </w:t>
      </w:r>
      <w:r w:rsidRPr="00DD262C">
        <w:rPr>
          <w:rFonts w:ascii="Times New Roman" w:eastAsia="Times New Roman" w:hAnsi="Times New Roman" w:cs="Times New Roman"/>
          <w:bCs/>
          <w:color w:val="000000" w:themeColor="text1"/>
          <w:spacing w:val="5"/>
          <w:lang w:val="uk-UA" w:eastAsia="en-US"/>
        </w:rPr>
        <w:t xml:space="preserve">ТОВ «УКАР-СЕРВІС» </w:t>
      </w:r>
      <w:r w:rsidRPr="00DD262C">
        <w:rPr>
          <w:rFonts w:ascii="Times New Roman" w:eastAsia="Times New Roman" w:hAnsi="Times New Roman" w:cs="Times New Roman"/>
          <w:color w:val="000000" w:themeColor="text1"/>
          <w:lang w:val="uk-UA" w:eastAsia="en-US"/>
        </w:rPr>
        <w:t>(ЄДРПОУ 37567871, країна реєстрації Україна).</w:t>
      </w:r>
    </w:p>
    <w:p w:rsidR="00DD262C" w:rsidRPr="00DD262C" w:rsidRDefault="00DD262C" w:rsidP="00DD262C">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eastAsia="en-US"/>
        </w:rPr>
        <w:t xml:space="preserve">На дату звітності невиплачена частка обліковується як поточна дебіторська заборгованість  під яку створені резерв очікуваних кредитних збитків в розмірі 2 635,0 тис. грн. </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98" w:firstLine="98"/>
              <w:jc w:val="center"/>
              <w:rPr>
                <w:rFonts w:eastAsia="Times New Roman" w:cs="Times New Roman"/>
                <w:b/>
                <w:i w:val="0"/>
                <w:color w:val="FFFFFF"/>
                <w:sz w:val="22"/>
                <w:szCs w:val="22"/>
              </w:rPr>
            </w:pPr>
            <w:r w:rsidRPr="00DD262C">
              <w:rPr>
                <w:rFonts w:eastAsia="Times New Roman" w:cs="Times New Roman"/>
                <w:b/>
                <w:i w:val="0"/>
                <w:color w:val="FFFFFF"/>
                <w:sz w:val="22"/>
                <w:szCs w:val="22"/>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jc w:val="center"/>
              <w:rPr>
                <w:rFonts w:eastAsia="Times New Roman" w:cs="Times New Roman"/>
                <w:b/>
                <w:i w:val="0"/>
                <w:color w:val="FFFFFF"/>
                <w:sz w:val="22"/>
                <w:szCs w:val="22"/>
              </w:rPr>
            </w:pPr>
            <w:r w:rsidRPr="00DD262C">
              <w:rPr>
                <w:rFonts w:eastAsia="Times New Roman" w:cs="Times New Roman"/>
                <w:b/>
                <w:i w:val="0"/>
                <w:color w:val="FFFFFF"/>
                <w:sz w:val="22"/>
                <w:szCs w:val="22"/>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27" w:firstLine="27"/>
              <w:jc w:val="center"/>
              <w:rPr>
                <w:rFonts w:eastAsia="Times New Roman" w:cs="Times New Roman"/>
                <w:b/>
                <w:i w:val="0"/>
                <w:color w:val="FFFFFF"/>
                <w:sz w:val="22"/>
                <w:szCs w:val="22"/>
              </w:rPr>
            </w:pPr>
            <w:r w:rsidRPr="00DD262C">
              <w:rPr>
                <w:rFonts w:eastAsia="Times New Roman" w:cs="Times New Roman"/>
                <w:b/>
                <w:i w:val="0"/>
                <w:color w:val="FFFFFF"/>
                <w:sz w:val="22"/>
                <w:szCs w:val="22"/>
              </w:rPr>
              <w:t>2022 рік</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63" w:hanging="63"/>
              <w:jc w:val="center"/>
              <w:rPr>
                <w:rFonts w:eastAsia="Times New Roman" w:cs="Times New Roman"/>
                <w:b/>
                <w:i w:val="0"/>
                <w:color w:val="FFFFFF"/>
                <w:sz w:val="22"/>
                <w:szCs w:val="22"/>
              </w:rPr>
            </w:pPr>
            <w:r w:rsidRPr="00DD262C">
              <w:rPr>
                <w:rFonts w:eastAsia="Times New Roman" w:cs="Times New Roman"/>
                <w:b/>
                <w:i w:val="0"/>
                <w:color w:val="FFFFFF"/>
                <w:sz w:val="22"/>
                <w:szCs w:val="22"/>
              </w:rPr>
              <w:t>2021 рік</w:t>
            </w:r>
          </w:p>
        </w:tc>
      </w:tr>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98" w:firstLine="98"/>
              <w:jc w:val="center"/>
              <w:rPr>
                <w:rFonts w:ascii="Times New Roman" w:hAnsi="Times New Roman" w:cs="Times New Roman"/>
                <w:color w:val="000000"/>
                <w:lang w:val="uk-UA"/>
              </w:rPr>
            </w:pPr>
            <w:r w:rsidRPr="00DD262C">
              <w:rPr>
                <w:rFonts w:ascii="Times New Roman" w:hAnsi="Times New Roman" w:cs="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color w:val="000000"/>
                <w:lang w:val="uk-UA"/>
              </w:rPr>
            </w:pPr>
            <w:r w:rsidRPr="00DD262C">
              <w:rPr>
                <w:rFonts w:ascii="Times New Roman" w:eastAsia="Times New Roman" w:hAnsi="Times New Roman" w:cs="Times New Roman"/>
                <w:color w:val="000000" w:themeColor="text1"/>
                <w:lang w:val="uk-UA"/>
              </w:rPr>
              <w:t>Розрахунки з іншими дебіторами</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both"/>
              <w:rPr>
                <w:rFonts w:ascii="Times New Roman" w:eastAsia="Times New Roman" w:hAnsi="Times New Roman" w:cs="Times New Roman"/>
                <w:color w:val="000000" w:themeColor="text1"/>
                <w:lang w:val="uk-UA"/>
              </w:rPr>
            </w:pPr>
          </w:p>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8 263,0</w:t>
            </w:r>
          </w:p>
          <w:p w:rsidR="00DD262C" w:rsidRPr="00DD262C" w:rsidRDefault="00DD262C" w:rsidP="00B80E44">
            <w:pPr>
              <w:ind w:left="-27" w:firstLine="27"/>
              <w:jc w:val="center"/>
              <w:rPr>
                <w:rFonts w:ascii="Times New Roman" w:hAnsi="Times New Roman" w:cs="Times New Roman"/>
                <w:color w:val="000000"/>
                <w:lang w:val="uk-UA"/>
              </w:rPr>
            </w:pP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8325,0</w:t>
            </w:r>
          </w:p>
        </w:tc>
      </w:tr>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98" w:firstLine="98"/>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color w:val="000000"/>
                <w:lang w:val="uk-UA"/>
              </w:rPr>
            </w:pPr>
            <w:r w:rsidRPr="00DD262C">
              <w:rPr>
                <w:rFonts w:ascii="Times New Roman" w:eastAsia="Times New Roman" w:hAnsi="Times New Roman" w:cs="Times New Roman"/>
                <w:color w:val="000000" w:themeColor="text1"/>
                <w:lang w:val="uk-UA"/>
              </w:rPr>
              <w:t>Резерв сумнiвних боргiв</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2635,0</w:t>
            </w: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866,0</w:t>
            </w:r>
          </w:p>
        </w:tc>
      </w:tr>
    </w:tbl>
    <w:p w:rsidR="00DD262C" w:rsidRPr="00DD262C" w:rsidRDefault="00DD262C" w:rsidP="00DD262C">
      <w:pPr>
        <w:jc w:val="both"/>
        <w:rPr>
          <w:rFonts w:ascii="Times New Roman" w:eastAsia="Times New Roman" w:hAnsi="Times New Roman" w:cs="Times New Roman"/>
          <w:color w:val="000000" w:themeColor="text1"/>
          <w:lang w:val="uk-UA" w:eastAsia="en-US"/>
        </w:rPr>
      </w:pPr>
    </w:p>
    <w:p w:rsidR="00DD262C" w:rsidRPr="00DD262C" w:rsidRDefault="00DD262C" w:rsidP="00DD262C">
      <w:pPr>
        <w:jc w:val="both"/>
        <w:rPr>
          <w:rFonts w:ascii="Times New Roman" w:eastAsia="Times New Roman" w:hAnsi="Times New Roman" w:cs="Times New Roman"/>
          <w:color w:val="000000" w:themeColor="text1"/>
          <w:shd w:val="clear" w:color="auto" w:fill="FFFFFF"/>
          <w:lang w:val="uk-UA" w:eastAsia="en-US"/>
        </w:rPr>
      </w:pPr>
      <w:r w:rsidRPr="00DD262C">
        <w:rPr>
          <w:rFonts w:ascii="Times New Roman" w:eastAsia="Times New Roman" w:hAnsi="Times New Roman" w:cs="Times New Roman"/>
          <w:color w:val="000000" w:themeColor="text1"/>
          <w:shd w:val="clear" w:color="auto" w:fill="FFFFFF"/>
          <w:lang w:val="uk-UA" w:eastAsia="en-US"/>
        </w:rPr>
        <w:t xml:space="preserve">   Сума збитків визнається у прибутку чи збитку. Якщо в наступному періоді сума збитку від зменшення корисності зменшується і це зменшення може бути об'єктивно пов'язаним з подією, яка відбувається після визнання зменшення корисності, то попередньо визнаний збиток від зменшення корисності сторнується за рахунок коригування резерву. Сума сторнування визнається у прибутку чи збитку. У разі неможливості повернення дебіторської заборгованості вона списується за рахунок створеного резерву сумнівних боргів на покриття збитків</w:t>
      </w:r>
    </w:p>
    <w:p w:rsidR="00DD262C" w:rsidRPr="00DD262C" w:rsidRDefault="00DD262C" w:rsidP="00DD262C">
      <w:pPr>
        <w:jc w:val="both"/>
        <w:rPr>
          <w:rFonts w:ascii="Times New Roman" w:hAnsi="Times New Roman" w:cs="Times New Roman"/>
          <w:i/>
          <w:lang w:val="uk-UA"/>
        </w:rPr>
      </w:pPr>
    </w:p>
    <w:p w:rsidR="00DD262C" w:rsidRPr="00DD262C" w:rsidRDefault="00DD262C" w:rsidP="00DD262C">
      <w:pPr>
        <w:pStyle w:val="1"/>
        <w:numPr>
          <w:ilvl w:val="0"/>
          <w:numId w:val="0"/>
        </w:numPr>
        <w:tabs>
          <w:tab w:val="num" w:pos="3627"/>
        </w:tabs>
      </w:pPr>
      <w:r w:rsidRPr="00DD262C">
        <w:rPr>
          <w:i/>
          <w:sz w:val="24"/>
        </w:rPr>
        <w:t>6.7.  Грошові кошти та їх еквіваленти</w:t>
      </w:r>
      <w:bookmarkEnd w:id="10"/>
      <w:bookmarkEnd w:id="11"/>
      <w:bookmarkEnd w:id="12"/>
      <w:bookmarkEnd w:id="13"/>
      <w:bookmarkEnd w:id="14"/>
      <w:bookmarkEnd w:id="15"/>
    </w:p>
    <w:p w:rsidR="00DD262C" w:rsidRPr="00DD262C" w:rsidRDefault="00DD262C" w:rsidP="00DD262C">
      <w:pPr>
        <w:pStyle w:val="ABC-paragrahinNotes"/>
        <w:spacing w:before="120" w:after="120"/>
        <w:ind w:firstLine="540"/>
        <w:rPr>
          <w:rFonts w:ascii="Times New Roman" w:hAnsi="Times New Roman"/>
          <w:lang w:val="uk-UA"/>
        </w:rPr>
      </w:pPr>
      <w:r w:rsidRPr="00DD262C">
        <w:rPr>
          <w:rFonts w:ascii="Times New Roman" w:hAnsi="Times New Roman"/>
          <w:lang w:val="uk-UA"/>
        </w:rPr>
        <w:t>Активи, що класифіковані  Компанією як  грошові кошти та їх еквіваленти, не мають обмежень у використанні, та зберігаються в банківських установах України.</w:t>
      </w:r>
    </w:p>
    <w:p w:rsidR="00DD262C" w:rsidRPr="00DD262C" w:rsidRDefault="00DD262C" w:rsidP="00DD262C">
      <w:pPr>
        <w:pStyle w:val="ABC-Comments"/>
        <w:spacing w:before="240"/>
        <w:ind w:firstLine="540"/>
        <w:rPr>
          <w:rFonts w:ascii="Times New Roman" w:hAnsi="Times New Roman"/>
          <w:i w:val="0"/>
          <w:color w:val="auto"/>
          <w:lang w:val="uk-UA"/>
        </w:rPr>
      </w:pPr>
      <w:r w:rsidRPr="00DD262C">
        <w:rPr>
          <w:rFonts w:ascii="Times New Roman" w:hAnsi="Times New Roman"/>
          <w:i w:val="0"/>
          <w:color w:val="auto"/>
          <w:lang w:val="uk-UA"/>
        </w:rPr>
        <w:t>Таблиця  Аналіз  якості еквівалентів грошових коштів станом на 31 грудня 2022 року</w:t>
      </w:r>
    </w:p>
    <w:p w:rsidR="00DD262C" w:rsidRPr="00DD262C" w:rsidRDefault="00DD262C" w:rsidP="00DD262C">
      <w:pPr>
        <w:ind w:left="6381" w:firstLine="709"/>
        <w:jc w:val="both"/>
        <w:rPr>
          <w:rFonts w:ascii="Times New Roman" w:hAnsi="Times New Roman" w:cs="Times New Roman"/>
          <w:sz w:val="18"/>
          <w:szCs w:val="18"/>
          <w:lang w:val="uk-UA"/>
        </w:rPr>
      </w:pPr>
      <w:r w:rsidRPr="00DD262C">
        <w:rPr>
          <w:rFonts w:ascii="Times New Roman" w:hAnsi="Times New Roman" w:cs="Times New Roman"/>
          <w:sz w:val="18"/>
          <w:szCs w:val="18"/>
          <w:lang w:val="uk-UA"/>
        </w:rPr>
        <w:t>Таб.6.7. (тис. грн.)</w:t>
      </w:r>
    </w:p>
    <w:tbl>
      <w:tblPr>
        <w:tblW w:w="400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26"/>
        <w:gridCol w:w="4666"/>
        <w:gridCol w:w="1096"/>
        <w:gridCol w:w="1388"/>
      </w:tblGrid>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98" w:firstLine="98"/>
              <w:jc w:val="center"/>
              <w:rPr>
                <w:rFonts w:eastAsia="Times New Roman" w:cs="Times New Roman"/>
                <w:b/>
                <w:i w:val="0"/>
                <w:color w:val="FFFFFF"/>
                <w:sz w:val="22"/>
                <w:szCs w:val="22"/>
              </w:rPr>
            </w:pPr>
            <w:r w:rsidRPr="00DD262C">
              <w:rPr>
                <w:rFonts w:eastAsia="Times New Roman" w:cs="Times New Roman"/>
                <w:b/>
                <w:i w:val="0"/>
                <w:color w:val="FFFFFF"/>
                <w:sz w:val="22"/>
                <w:szCs w:val="22"/>
              </w:rPr>
              <w:t>Рядок</w:t>
            </w:r>
          </w:p>
        </w:tc>
        <w:tc>
          <w:tcPr>
            <w:tcW w:w="292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jc w:val="center"/>
              <w:rPr>
                <w:rFonts w:eastAsia="Times New Roman" w:cs="Times New Roman"/>
                <w:b/>
                <w:i w:val="0"/>
                <w:color w:val="FFFFFF"/>
                <w:sz w:val="22"/>
                <w:szCs w:val="22"/>
              </w:rPr>
            </w:pPr>
            <w:r w:rsidRPr="00DD262C">
              <w:rPr>
                <w:rFonts w:eastAsia="Times New Roman" w:cs="Times New Roman"/>
                <w:b/>
                <w:i w:val="0"/>
                <w:color w:val="FFFFFF"/>
                <w:sz w:val="22"/>
                <w:szCs w:val="22"/>
              </w:rPr>
              <w:t>Найменування статті</w:t>
            </w:r>
          </w:p>
        </w:tc>
        <w:tc>
          <w:tcPr>
            <w:tcW w:w="687"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27" w:firstLine="27"/>
              <w:jc w:val="center"/>
              <w:rPr>
                <w:rFonts w:eastAsia="Times New Roman" w:cs="Times New Roman"/>
                <w:b/>
                <w:i w:val="0"/>
                <w:color w:val="FFFFFF"/>
                <w:sz w:val="22"/>
                <w:szCs w:val="22"/>
              </w:rPr>
            </w:pPr>
            <w:r w:rsidRPr="00DD262C">
              <w:rPr>
                <w:rFonts w:eastAsia="Times New Roman" w:cs="Times New Roman"/>
                <w:b/>
                <w:i w:val="0"/>
                <w:color w:val="FFFFFF"/>
                <w:sz w:val="22"/>
                <w:szCs w:val="22"/>
              </w:rPr>
              <w:t>2022 рік</w:t>
            </w:r>
          </w:p>
        </w:tc>
        <w:tc>
          <w:tcPr>
            <w:tcW w:w="87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pStyle w:val="RRthousands"/>
              <w:ind w:left="63" w:hanging="63"/>
              <w:jc w:val="center"/>
              <w:rPr>
                <w:rFonts w:eastAsia="Times New Roman" w:cs="Times New Roman"/>
                <w:b/>
                <w:i w:val="0"/>
                <w:color w:val="FFFFFF"/>
                <w:sz w:val="22"/>
                <w:szCs w:val="22"/>
              </w:rPr>
            </w:pPr>
            <w:r w:rsidRPr="00DD262C">
              <w:rPr>
                <w:rFonts w:eastAsia="Times New Roman" w:cs="Times New Roman"/>
                <w:b/>
                <w:i w:val="0"/>
                <w:color w:val="FFFFFF"/>
                <w:sz w:val="22"/>
                <w:szCs w:val="22"/>
              </w:rPr>
              <w:t>2021 рік</w:t>
            </w:r>
          </w:p>
        </w:tc>
      </w:tr>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98" w:firstLine="98"/>
              <w:jc w:val="center"/>
              <w:rPr>
                <w:rFonts w:ascii="Times New Roman" w:hAnsi="Times New Roman" w:cs="Times New Roman"/>
                <w:color w:val="000000"/>
                <w:lang w:val="uk-UA"/>
              </w:rPr>
            </w:pPr>
            <w:r w:rsidRPr="00DD262C">
              <w:rPr>
                <w:rFonts w:ascii="Times New Roman" w:hAnsi="Times New Roman" w:cs="Times New Roman"/>
                <w:color w:val="000000"/>
                <w:lang w:val="uk-UA"/>
              </w:rPr>
              <w:t>1</w:t>
            </w: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Готівкові кошти в касі Компанії </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9,0</w:t>
            </w: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6</w:t>
            </w:r>
          </w:p>
        </w:tc>
      </w:tr>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98" w:firstLine="98"/>
              <w:jc w:val="center"/>
              <w:rPr>
                <w:rFonts w:ascii="Times New Roman" w:hAnsi="Times New Roman" w:cs="Times New Roman"/>
                <w:color w:val="000000"/>
                <w:lang w:val="uk-UA"/>
              </w:rPr>
            </w:pPr>
            <w:r w:rsidRPr="00DD262C">
              <w:rPr>
                <w:rFonts w:ascii="Times New Roman" w:hAnsi="Times New Roman" w:cs="Times New Roman"/>
                <w:color w:val="000000"/>
                <w:lang w:val="uk-UA"/>
              </w:rPr>
              <w:t>1.1</w:t>
            </w: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Комерційні банки із рейтингом «інвестиційний» </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6 934,0</w:t>
            </w: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4923,0</w:t>
            </w:r>
          </w:p>
        </w:tc>
      </w:tr>
      <w:tr w:rsidR="00DD262C" w:rsidRPr="00DD262C" w:rsidTr="00B80E44">
        <w:trPr>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98" w:firstLine="98"/>
              <w:jc w:val="center"/>
              <w:rPr>
                <w:rFonts w:ascii="Times New Roman" w:hAnsi="Times New Roman" w:cs="Times New Roman"/>
                <w:color w:val="000000"/>
                <w:lang w:val="uk-UA"/>
              </w:rPr>
            </w:pPr>
            <w:r w:rsidRPr="00DD262C">
              <w:rPr>
                <w:rFonts w:ascii="Times New Roman" w:hAnsi="Times New Roman" w:cs="Times New Roman"/>
                <w:color w:val="000000"/>
                <w:lang w:val="uk-UA"/>
              </w:rPr>
              <w:t>1.2</w:t>
            </w: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З рейтингом нижче інвестиційного</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left="-27" w:firstLine="27"/>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trHeight w:val="417"/>
          <w:jc w:val="center"/>
        </w:trPr>
        <w:tc>
          <w:tcPr>
            <w:tcW w:w="518"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pStyle w:val="Rowheader"/>
              <w:spacing w:line="225" w:lineRule="auto"/>
              <w:ind w:left="-98" w:firstLine="98"/>
              <w:jc w:val="center"/>
              <w:rPr>
                <w:sz w:val="22"/>
                <w:szCs w:val="22"/>
              </w:rPr>
            </w:pPr>
          </w:p>
        </w:tc>
        <w:tc>
          <w:tcPr>
            <w:tcW w:w="2925"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pStyle w:val="Rowheader"/>
              <w:spacing w:line="225" w:lineRule="auto"/>
              <w:rPr>
                <w:sz w:val="22"/>
                <w:szCs w:val="22"/>
              </w:rPr>
            </w:pPr>
            <w:r w:rsidRPr="00DD262C">
              <w:rPr>
                <w:sz w:val="22"/>
                <w:szCs w:val="22"/>
              </w:rPr>
              <w:t xml:space="preserve">Усього еквівалентів грошових коштів  </w:t>
            </w:r>
          </w:p>
        </w:tc>
        <w:tc>
          <w:tcPr>
            <w:tcW w:w="68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pStyle w:val="Rowheader"/>
              <w:spacing w:line="225" w:lineRule="auto"/>
              <w:ind w:left="-27" w:firstLine="27"/>
              <w:jc w:val="center"/>
              <w:rPr>
                <w:sz w:val="22"/>
                <w:szCs w:val="22"/>
              </w:rPr>
            </w:pPr>
          </w:p>
          <w:p w:rsidR="00DD262C" w:rsidRPr="00DD262C" w:rsidRDefault="00DD262C" w:rsidP="00B80E44">
            <w:pPr>
              <w:pStyle w:val="Rowheader"/>
              <w:spacing w:line="225" w:lineRule="auto"/>
              <w:ind w:left="-27" w:firstLine="27"/>
              <w:jc w:val="center"/>
              <w:rPr>
                <w:sz w:val="22"/>
                <w:szCs w:val="22"/>
              </w:rPr>
            </w:pPr>
            <w:r w:rsidRPr="00DD262C">
              <w:rPr>
                <w:sz w:val="22"/>
                <w:szCs w:val="22"/>
              </w:rPr>
              <w:t>6 943,0</w:t>
            </w:r>
          </w:p>
          <w:p w:rsidR="00DD262C" w:rsidRPr="00DD262C" w:rsidRDefault="00DD262C" w:rsidP="00B80E44">
            <w:pPr>
              <w:pStyle w:val="Rowheader"/>
              <w:spacing w:line="225" w:lineRule="auto"/>
              <w:jc w:val="center"/>
              <w:rPr>
                <w:sz w:val="22"/>
                <w:szCs w:val="22"/>
              </w:rPr>
            </w:pPr>
          </w:p>
        </w:tc>
        <w:tc>
          <w:tcPr>
            <w:tcW w:w="87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pStyle w:val="Rowheader"/>
              <w:spacing w:line="225" w:lineRule="auto"/>
              <w:ind w:left="-27" w:firstLine="27"/>
              <w:jc w:val="center"/>
              <w:rPr>
                <w:sz w:val="22"/>
                <w:szCs w:val="22"/>
              </w:rPr>
            </w:pPr>
            <w:r w:rsidRPr="00DD262C">
              <w:rPr>
                <w:sz w:val="22"/>
                <w:szCs w:val="22"/>
              </w:rPr>
              <w:t>4929,0</w:t>
            </w:r>
          </w:p>
        </w:tc>
      </w:tr>
    </w:tbl>
    <w:p w:rsidR="00DD262C" w:rsidRPr="00DD262C" w:rsidRDefault="00DD262C" w:rsidP="00DD262C">
      <w:pPr>
        <w:pStyle w:val="ABC-paragrahinNotes"/>
        <w:spacing w:before="120" w:after="120"/>
        <w:ind w:firstLine="540"/>
        <w:contextualSpacing/>
        <w:rPr>
          <w:rFonts w:ascii="Times New Roman" w:hAnsi="Times New Roman"/>
          <w:lang w:val="uk-UA"/>
        </w:rPr>
      </w:pPr>
    </w:p>
    <w:p w:rsidR="00DD262C" w:rsidRPr="00DD262C" w:rsidRDefault="00DD262C" w:rsidP="00DD262C">
      <w:pPr>
        <w:pStyle w:val="ABC-paragrahinNotes"/>
        <w:spacing w:before="120" w:after="120"/>
        <w:ind w:firstLine="540"/>
        <w:contextualSpacing/>
        <w:rPr>
          <w:rFonts w:ascii="Times New Roman" w:hAnsi="Times New Roman"/>
          <w:lang w:val="uk-UA"/>
        </w:rPr>
      </w:pPr>
      <w:r w:rsidRPr="00DD262C">
        <w:rPr>
          <w:rFonts w:ascii="Times New Roman" w:hAnsi="Times New Roman"/>
          <w:lang w:val="uk-UA"/>
        </w:rPr>
        <w:t>Компанія зберігає кошти в банківських установах які мають рейтинг не нижче інвестиційного, а саме:</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lang w:val="uk-UA"/>
        </w:rPr>
      </w:pPr>
      <w:r w:rsidRPr="00DD262C">
        <w:rPr>
          <w:rFonts w:ascii="Times New Roman" w:hAnsi="Times New Roman"/>
          <w:lang w:val="uk-UA"/>
        </w:rPr>
        <w:t>ПАТ «Ощадбанк»       (ЄДРПОУ 09322277) – uaAA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lang w:val="uk-UA"/>
        </w:rPr>
      </w:pPr>
      <w:r w:rsidRPr="00DD262C">
        <w:rPr>
          <w:rFonts w:ascii="Times New Roman" w:hAnsi="Times New Roman"/>
          <w:lang w:val="uk-UA"/>
        </w:rPr>
        <w:t>ПАТ «Альфа-Банк»    (ЄДРПОУ 23494714) – uaAAA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lang w:val="uk-UA"/>
        </w:rPr>
      </w:pPr>
      <w:r w:rsidRPr="00DD262C">
        <w:rPr>
          <w:rFonts w:ascii="Times New Roman" w:hAnsi="Times New Roman"/>
          <w:lang w:val="uk-UA"/>
        </w:rPr>
        <w:t xml:space="preserve">АТ «Ідея Банк»           (ЄДРПОУ </w:t>
      </w:r>
      <w:r w:rsidRPr="00DD262C">
        <w:rPr>
          <w:rFonts w:ascii="Times New Roman" w:hAnsi="Times New Roman"/>
          <w:bCs/>
          <w:lang w:val="uk-UA" w:eastAsia="uk-UA"/>
        </w:rPr>
        <w:t>19390819</w:t>
      </w:r>
      <w:r w:rsidRPr="00DD262C">
        <w:rPr>
          <w:rFonts w:ascii="Times New Roman" w:hAnsi="Times New Roman"/>
          <w:lang w:val="uk-UA"/>
        </w:rPr>
        <w:t>)  – uaAA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bCs/>
          <w:lang w:val="uk-UA" w:eastAsia="uk-UA"/>
        </w:rPr>
      </w:pPr>
      <w:r w:rsidRPr="00DD262C">
        <w:rPr>
          <w:rFonts w:ascii="Times New Roman" w:hAnsi="Times New Roman"/>
          <w:lang w:val="uk-UA"/>
        </w:rPr>
        <w:t>АТ КБ «ПриватБанк» (ЄДРПОУ 14360570)  – uaAA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bCs/>
          <w:lang w:val="uk-UA" w:eastAsia="uk-UA"/>
        </w:rPr>
      </w:pPr>
      <w:r w:rsidRPr="00DD262C">
        <w:rPr>
          <w:rFonts w:ascii="Times New Roman" w:hAnsi="Times New Roman"/>
          <w:bCs/>
          <w:lang w:val="uk-UA" w:eastAsia="uk-UA"/>
        </w:rPr>
        <w:t xml:space="preserve">АТ Універсалбанк       </w:t>
      </w:r>
      <w:r w:rsidRPr="00DD262C">
        <w:rPr>
          <w:rFonts w:ascii="Times New Roman" w:hAnsi="Times New Roman"/>
          <w:lang w:val="uk-UA"/>
        </w:rPr>
        <w:t>(ЄДРПОУ</w:t>
      </w:r>
      <w:r w:rsidRPr="00DD262C">
        <w:rPr>
          <w:rFonts w:ascii="Times New Roman" w:hAnsi="Times New Roman"/>
          <w:bCs/>
          <w:lang w:val="uk-UA" w:eastAsia="uk-UA"/>
        </w:rPr>
        <w:t xml:space="preserve"> 21133352) – </w:t>
      </w:r>
      <w:r w:rsidRPr="00DD262C">
        <w:rPr>
          <w:rFonts w:ascii="Times New Roman" w:hAnsi="Times New Roman"/>
          <w:lang w:val="uk-UA"/>
        </w:rPr>
        <w:t>uaAAA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bCs/>
          <w:lang w:val="uk-UA" w:eastAsia="uk-UA"/>
        </w:rPr>
      </w:pPr>
      <w:r w:rsidRPr="00DD262C">
        <w:rPr>
          <w:rFonts w:ascii="Times New Roman" w:hAnsi="Times New Roman"/>
          <w:bCs/>
          <w:lang w:val="uk-UA" w:eastAsia="uk-UA"/>
        </w:rPr>
        <w:t xml:space="preserve">АТ Укрсиббанк           </w:t>
      </w:r>
      <w:r w:rsidRPr="00DD262C">
        <w:rPr>
          <w:rFonts w:ascii="Times New Roman" w:hAnsi="Times New Roman"/>
          <w:lang w:val="uk-UA"/>
        </w:rPr>
        <w:t>(ЄДРПОУ</w:t>
      </w:r>
      <w:r w:rsidRPr="00DD262C">
        <w:rPr>
          <w:rFonts w:ascii="Times New Roman" w:hAnsi="Times New Roman"/>
          <w:bCs/>
          <w:lang w:val="uk-UA" w:eastAsia="uk-UA"/>
        </w:rPr>
        <w:t xml:space="preserve">  22963118) – </w:t>
      </w:r>
      <w:r w:rsidRPr="00DD262C">
        <w:rPr>
          <w:rFonts w:ascii="Times New Roman" w:hAnsi="Times New Roman"/>
          <w:lang w:val="uk-UA"/>
        </w:rPr>
        <w:t>uaAAA</w:t>
      </w:r>
    </w:p>
    <w:p w:rsidR="00DD262C" w:rsidRPr="00DD262C" w:rsidRDefault="00DD262C" w:rsidP="00DD262C">
      <w:pPr>
        <w:pStyle w:val="ABC-paragrahinNotes"/>
        <w:numPr>
          <w:ilvl w:val="0"/>
          <w:numId w:val="4"/>
        </w:numPr>
        <w:spacing w:before="120" w:after="120"/>
        <w:ind w:left="896" w:hanging="357"/>
        <w:contextualSpacing/>
        <w:rPr>
          <w:rFonts w:ascii="Times New Roman" w:hAnsi="Times New Roman"/>
          <w:lang w:val="uk-UA"/>
        </w:rPr>
      </w:pPr>
      <w:r w:rsidRPr="00DD262C">
        <w:rPr>
          <w:rFonts w:ascii="Times New Roman" w:hAnsi="Times New Roman"/>
          <w:lang w:val="uk-UA"/>
        </w:rPr>
        <w:t>АТ Укргазбанк             (ЄДРПОУ 23697280) – uaAA+</w:t>
      </w:r>
    </w:p>
    <w:p w:rsidR="00DD262C" w:rsidRPr="00DD262C" w:rsidRDefault="00DD262C" w:rsidP="00DD262C">
      <w:pPr>
        <w:pStyle w:val="ABC-paragrahinNotes"/>
        <w:spacing w:before="120" w:after="120"/>
        <w:rPr>
          <w:rFonts w:ascii="Times New Roman" w:hAnsi="Times New Roman"/>
          <w:b/>
          <w:i/>
          <w:lang w:val="uk-UA"/>
        </w:rPr>
      </w:pPr>
      <w:bookmarkStart w:id="16" w:name="_Ref320805978"/>
      <w:bookmarkStart w:id="17" w:name="_Toc320725135"/>
    </w:p>
    <w:p w:rsidR="00DD262C" w:rsidRPr="00DD262C" w:rsidRDefault="00DD262C" w:rsidP="00DD262C">
      <w:pPr>
        <w:pStyle w:val="ABC-paragrahinNotes"/>
        <w:spacing w:before="120" w:after="120"/>
        <w:rPr>
          <w:rFonts w:ascii="Times New Roman" w:hAnsi="Times New Roman"/>
          <w:b/>
          <w:sz w:val="22"/>
          <w:szCs w:val="22"/>
          <w:lang w:val="uk-UA"/>
        </w:rPr>
      </w:pPr>
      <w:r w:rsidRPr="00DD262C">
        <w:rPr>
          <w:rFonts w:ascii="Times New Roman" w:hAnsi="Times New Roman"/>
          <w:b/>
          <w:i/>
          <w:lang w:val="uk-UA"/>
        </w:rPr>
        <w:t>6.8.  Статутний капітал та емісійні різниці (емісійний дохід)</w:t>
      </w:r>
      <w:bookmarkEnd w:id="16"/>
      <w:bookmarkEnd w:id="17"/>
      <w:r w:rsidRPr="00DD262C">
        <w:rPr>
          <w:rFonts w:ascii="Times New Roman" w:hAnsi="Times New Roman"/>
          <w:b/>
          <w:i/>
          <w:lang w:val="uk-UA"/>
        </w:rPr>
        <w:t>, зміни у власному капіталі.</w:t>
      </w:r>
    </w:p>
    <w:p w:rsidR="00DD262C" w:rsidRPr="00DD262C" w:rsidRDefault="00DD262C" w:rsidP="00DD262C">
      <w:pPr>
        <w:pStyle w:val="ac"/>
        <w:jc w:val="right"/>
        <w:rPr>
          <w:sz w:val="18"/>
          <w:szCs w:val="18"/>
          <w:lang w:val="uk-UA"/>
        </w:rPr>
      </w:pPr>
      <w:r w:rsidRPr="00DD262C">
        <w:rPr>
          <w:sz w:val="18"/>
          <w:szCs w:val="18"/>
          <w:lang w:val="uk-UA"/>
        </w:rPr>
        <w:t>Таб.6.8.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DD262C" w:rsidRPr="00DD262C" w:rsidTr="00B80E44">
        <w:trPr>
          <w:cantSplit/>
          <w:trHeight w:val="486"/>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w:t>
            </w:r>
            <w:r w:rsidRPr="00DD262C">
              <w:rPr>
                <w:rFonts w:ascii="Times New Roman" w:hAnsi="Times New Roman" w:cs="Times New Roman"/>
                <w:b/>
                <w:color w:val="FFFFFF"/>
                <w:lang w:val="uk-UA"/>
              </w:rPr>
              <w:softHyphen/>
              <w:t>док</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72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Кільк-ть акцій в обігу (тис. шт.)</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Прості акції</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Вартість акцій</w:t>
            </w:r>
          </w:p>
        </w:tc>
      </w:tr>
      <w:tr w:rsidR="00DD262C" w:rsidRPr="00DD262C" w:rsidTr="00B80E44">
        <w:trPr>
          <w:jc w:val="center"/>
        </w:trPr>
        <w:tc>
          <w:tcPr>
            <w:tcW w:w="825"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3561"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1843"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72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1702"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c>
          <w:tcPr>
            <w:tcW w:w="1744" w:type="dxa"/>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5</w:t>
            </w:r>
          </w:p>
        </w:tc>
      </w:tr>
      <w:tr w:rsidR="00DD262C" w:rsidRPr="00DD262C"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w:t>
            </w:r>
          </w:p>
        </w:tc>
        <w:tc>
          <w:tcPr>
            <w:tcW w:w="3561"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b/>
                <w:color w:val="000000"/>
                <w:lang w:val="uk-UA"/>
              </w:rPr>
            </w:pPr>
            <w:r w:rsidRPr="00DD262C">
              <w:rPr>
                <w:rFonts w:ascii="Times New Roman" w:hAnsi="Times New Roman" w:cs="Times New Roman"/>
                <w:b/>
                <w:color w:val="000000"/>
                <w:lang w:val="uk-UA"/>
              </w:rPr>
              <w:t>Залишок на 1 січня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728"/>
              </w:tabs>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16524,4</w:t>
            </w:r>
          </w:p>
        </w:tc>
      </w:tr>
      <w:tr w:rsidR="00DD262C" w:rsidRPr="00DD262C"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3561"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Внески за акціями (паями, частками) нового випуску </w:t>
            </w:r>
          </w:p>
        </w:tc>
        <w:tc>
          <w:tcPr>
            <w:tcW w:w="1843"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728"/>
              </w:tabs>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1702"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1744"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jc w:val="center"/>
        </w:trPr>
        <w:tc>
          <w:tcPr>
            <w:tcW w:w="825"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p>
        </w:tc>
        <w:tc>
          <w:tcPr>
            <w:tcW w:w="3561"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b/>
                <w:color w:val="000000"/>
                <w:lang w:val="uk-UA"/>
              </w:rPr>
            </w:pPr>
            <w:r w:rsidRPr="00DD262C">
              <w:rPr>
                <w:rFonts w:ascii="Times New Roman" w:hAnsi="Times New Roman" w:cs="Times New Roman"/>
                <w:b/>
                <w:color w:val="000000"/>
                <w:lang w:val="uk-UA"/>
              </w:rPr>
              <w:t>Залишок на кінець дня 31  грудня  2022 року</w:t>
            </w:r>
          </w:p>
        </w:tc>
        <w:tc>
          <w:tcPr>
            <w:tcW w:w="1843"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728"/>
              </w:tabs>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w:t>
            </w:r>
          </w:p>
        </w:tc>
        <w:tc>
          <w:tcPr>
            <w:tcW w:w="1702"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w:t>
            </w:r>
          </w:p>
        </w:tc>
        <w:tc>
          <w:tcPr>
            <w:tcW w:w="1744" w:type="dxa"/>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16524,4</w:t>
            </w:r>
          </w:p>
        </w:tc>
      </w:tr>
    </w:tbl>
    <w:p w:rsidR="00DD262C" w:rsidRPr="00DD262C" w:rsidRDefault="00DD262C" w:rsidP="00DD262C">
      <w:pPr>
        <w:pStyle w:val="a3"/>
        <w:ind w:right="140"/>
      </w:pPr>
    </w:p>
    <w:p w:rsidR="00DD262C" w:rsidRPr="00DD262C" w:rsidRDefault="00DD262C" w:rsidP="00DD262C">
      <w:pPr>
        <w:pStyle w:val="a3"/>
        <w:ind w:right="0" w:firstLine="540"/>
      </w:pPr>
      <w:r w:rsidRPr="00DD262C">
        <w:t>Всі акції є простими, надають акціонерам наступні права:</w:t>
      </w:r>
    </w:p>
    <w:p w:rsidR="00DD262C" w:rsidRPr="00DD262C" w:rsidRDefault="00DD262C" w:rsidP="00DD262C">
      <w:pPr>
        <w:pStyle w:val="a3"/>
        <w:ind w:right="0" w:firstLine="540"/>
      </w:pPr>
      <w:r w:rsidRPr="00DD262C">
        <w:t>- брати участь в управлінні справами страхової компанії в порядку, визначеному чинним законодавством України та Статутом;</w:t>
      </w:r>
    </w:p>
    <w:p w:rsidR="00DD262C" w:rsidRPr="00DD262C" w:rsidRDefault="00DD262C" w:rsidP="00DD262C">
      <w:pPr>
        <w:pStyle w:val="a3"/>
        <w:ind w:right="0" w:firstLine="540"/>
      </w:pPr>
      <w:r w:rsidRPr="00DD262C">
        <w:t>- брати участь у розподілі прибутку страхової компанії та одержувати дивіденди відповідно до рішень Загальних зборів акціонерів;</w:t>
      </w:r>
    </w:p>
    <w:p w:rsidR="00DD262C" w:rsidRPr="00DD262C" w:rsidRDefault="00DD262C" w:rsidP="00DD262C">
      <w:pPr>
        <w:pStyle w:val="a3"/>
        <w:ind w:right="0" w:firstLine="540"/>
      </w:pPr>
      <w:r w:rsidRPr="00DD262C">
        <w:t>- отримувати інформацію про діяльність страхової компанії в обсягах, визначеному чинним законодавством України;</w:t>
      </w:r>
    </w:p>
    <w:p w:rsidR="00DD262C" w:rsidRPr="00DD262C" w:rsidRDefault="00DD262C" w:rsidP="00DD262C">
      <w:pPr>
        <w:pStyle w:val="a3"/>
        <w:ind w:right="0" w:firstLine="540"/>
      </w:pPr>
      <w:r w:rsidRPr="00DD262C">
        <w:t>- відчужувати акції страхової компанії в порядку, визначеному цим Статутом та чинним законодавством України;</w:t>
      </w:r>
    </w:p>
    <w:p w:rsidR="00DD262C" w:rsidRPr="00DD262C" w:rsidRDefault="00DD262C" w:rsidP="00DD262C">
      <w:pPr>
        <w:pStyle w:val="a3"/>
        <w:ind w:right="0" w:firstLine="540"/>
      </w:pPr>
      <w:r w:rsidRPr="00DD262C">
        <w:t>- інші права згідно з Статутом та чинним законодавством України.</w:t>
      </w:r>
    </w:p>
    <w:p w:rsidR="00DD262C" w:rsidRPr="00DD262C" w:rsidRDefault="00DD262C" w:rsidP="00DD262C">
      <w:pPr>
        <w:pStyle w:val="a3"/>
        <w:ind w:right="0" w:firstLine="540"/>
      </w:pPr>
      <w:r w:rsidRPr="00DD262C">
        <w:t>Привілеї та обмеження для певних груп акціонерів відсутні.</w:t>
      </w:r>
    </w:p>
    <w:p w:rsidR="00DD262C" w:rsidRPr="00DD262C" w:rsidRDefault="00DD262C" w:rsidP="00DD262C">
      <w:pPr>
        <w:pStyle w:val="a3"/>
        <w:ind w:right="0" w:firstLine="540"/>
      </w:pPr>
      <w:r w:rsidRPr="00DD262C">
        <w:t>Станом на 31.12 .2022р. акції ПрАТ «СК «САТІС» належать</w:t>
      </w:r>
    </w:p>
    <w:p w:rsidR="00DD262C" w:rsidRPr="00DD262C" w:rsidRDefault="00DD262C" w:rsidP="00DD262C">
      <w:pPr>
        <w:pStyle w:val="ac"/>
        <w:jc w:val="right"/>
        <w:rPr>
          <w:sz w:val="18"/>
          <w:szCs w:val="18"/>
          <w:lang w:val="uk-UA"/>
        </w:rPr>
      </w:pPr>
      <w:r w:rsidRPr="00DD262C">
        <w:rPr>
          <w:sz w:val="18"/>
          <w:szCs w:val="18"/>
          <w:lang w:val="uk-UA"/>
        </w:rPr>
        <w:t>Таб.6.8.1. тис. грн.</w:t>
      </w:r>
    </w:p>
    <w:tbl>
      <w:tblPr>
        <w:tblW w:w="9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4A0" w:firstRow="1" w:lastRow="0" w:firstColumn="1" w:lastColumn="0" w:noHBand="0" w:noVBand="1"/>
      </w:tblPr>
      <w:tblGrid>
        <w:gridCol w:w="825"/>
        <w:gridCol w:w="3561"/>
        <w:gridCol w:w="1843"/>
        <w:gridCol w:w="1702"/>
        <w:gridCol w:w="1744"/>
      </w:tblGrid>
      <w:tr w:rsidR="00DD262C" w:rsidRPr="00DD262C" w:rsidTr="00B80E44">
        <w:trPr>
          <w:cantSplit/>
          <w:trHeight w:val="486"/>
          <w:jc w:val="center"/>
        </w:trPr>
        <w:tc>
          <w:tcPr>
            <w:tcW w:w="825"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3561" w:type="dxa"/>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Назва/П.І.Б. власника цінних паперів</w:t>
            </w:r>
          </w:p>
        </w:tc>
        <w:tc>
          <w:tcPr>
            <w:tcW w:w="1843" w:type="dxa"/>
            <w:shd w:val="clear" w:color="auto" w:fill="3366FF"/>
            <w:vAlign w:val="center"/>
          </w:tcPr>
          <w:p w:rsidR="00DD262C" w:rsidRPr="00DD262C" w:rsidRDefault="00DD262C" w:rsidP="00B80E44">
            <w:pPr>
              <w:tabs>
                <w:tab w:val="left" w:pos="172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Загальна кількість ЦП</w:t>
            </w:r>
          </w:p>
        </w:tc>
        <w:tc>
          <w:tcPr>
            <w:tcW w:w="1702"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Загальна номінальна вартість ЦП</w:t>
            </w:r>
          </w:p>
        </w:tc>
        <w:tc>
          <w:tcPr>
            <w:tcW w:w="1744"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Відсоток у СК</w:t>
            </w:r>
          </w:p>
        </w:tc>
      </w:tr>
      <w:tr w:rsidR="00DD262C" w:rsidRPr="00DD262C" w:rsidTr="00B80E44">
        <w:trPr>
          <w:jc w:val="center"/>
        </w:trPr>
        <w:tc>
          <w:tcPr>
            <w:tcW w:w="825"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3561" w:type="dxa"/>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1843" w:type="dxa"/>
            <w:shd w:val="clear" w:color="auto" w:fill="3366FF"/>
            <w:vAlign w:val="center"/>
          </w:tcPr>
          <w:p w:rsidR="00DD262C" w:rsidRPr="00DD262C" w:rsidRDefault="00DD262C" w:rsidP="00B80E44">
            <w:pPr>
              <w:tabs>
                <w:tab w:val="left" w:pos="172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1702"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c>
          <w:tcPr>
            <w:tcW w:w="1744" w:type="dxa"/>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5</w:t>
            </w:r>
          </w:p>
        </w:tc>
      </w:tr>
      <w:tr w:rsidR="00DD262C" w:rsidRPr="00DD262C" w:rsidTr="00B80E44">
        <w:trPr>
          <w:jc w:val="center"/>
        </w:trPr>
        <w:tc>
          <w:tcPr>
            <w:tcW w:w="825"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w:t>
            </w:r>
          </w:p>
        </w:tc>
        <w:tc>
          <w:tcPr>
            <w:tcW w:w="3561" w:type="dxa"/>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Фізичні особи</w:t>
            </w:r>
          </w:p>
        </w:tc>
        <w:tc>
          <w:tcPr>
            <w:tcW w:w="1843" w:type="dxa"/>
            <w:vAlign w:val="center"/>
          </w:tcPr>
          <w:p w:rsidR="00DD262C" w:rsidRPr="00DD262C" w:rsidRDefault="00DD262C" w:rsidP="00B80E44">
            <w:pPr>
              <w:tabs>
                <w:tab w:val="left" w:pos="1728"/>
              </w:tabs>
              <w:jc w:val="center"/>
              <w:rPr>
                <w:rFonts w:ascii="Times New Roman" w:hAnsi="Times New Roman" w:cs="Times New Roman"/>
                <w:color w:val="FF0000"/>
                <w:lang w:val="uk-UA"/>
              </w:rPr>
            </w:pPr>
            <w:r w:rsidRPr="00DD262C">
              <w:rPr>
                <w:rFonts w:ascii="Times New Roman" w:hAnsi="Times New Roman" w:cs="Times New Roman"/>
                <w:color w:val="FF0000"/>
                <w:lang w:val="uk-UA"/>
              </w:rPr>
              <w:t>13456,18</w:t>
            </w:r>
          </w:p>
        </w:tc>
        <w:tc>
          <w:tcPr>
            <w:tcW w:w="1702" w:type="dxa"/>
            <w:vAlign w:val="center"/>
          </w:tcPr>
          <w:p w:rsidR="00DD262C" w:rsidRPr="00DD262C" w:rsidRDefault="00DD262C" w:rsidP="00B80E44">
            <w:pPr>
              <w:jc w:val="center"/>
              <w:rPr>
                <w:rFonts w:ascii="Times New Roman" w:hAnsi="Times New Roman" w:cs="Times New Roman"/>
                <w:color w:val="FF0000"/>
                <w:lang w:val="uk-UA"/>
              </w:rPr>
            </w:pPr>
            <w:r w:rsidRPr="00DD262C">
              <w:rPr>
                <w:rFonts w:ascii="Times New Roman" w:hAnsi="Times New Roman" w:cs="Times New Roman"/>
                <w:color w:val="FF0000"/>
                <w:lang w:val="uk-UA"/>
              </w:rPr>
              <w:t>13456,18</w:t>
            </w:r>
          </w:p>
        </w:tc>
        <w:tc>
          <w:tcPr>
            <w:tcW w:w="1744"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FF0000"/>
                <w:lang w:val="uk-UA"/>
              </w:rPr>
              <w:t>81,432378</w:t>
            </w:r>
          </w:p>
        </w:tc>
      </w:tr>
      <w:tr w:rsidR="00DD262C" w:rsidRPr="00DD262C" w:rsidTr="00B80E44">
        <w:trPr>
          <w:jc w:val="center"/>
        </w:trPr>
        <w:tc>
          <w:tcPr>
            <w:tcW w:w="825"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3561" w:type="dxa"/>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АКБ «Східно-Європейський банк»,  Україна</w:t>
            </w:r>
          </w:p>
        </w:tc>
        <w:tc>
          <w:tcPr>
            <w:tcW w:w="1843" w:type="dxa"/>
            <w:vAlign w:val="center"/>
          </w:tcPr>
          <w:p w:rsidR="00DD262C" w:rsidRPr="00DD262C" w:rsidRDefault="00DD262C" w:rsidP="00B80E44">
            <w:pPr>
              <w:tabs>
                <w:tab w:val="left" w:pos="1728"/>
              </w:tabs>
              <w:jc w:val="center"/>
              <w:rPr>
                <w:rFonts w:ascii="Times New Roman" w:hAnsi="Times New Roman" w:cs="Times New Roman"/>
                <w:color w:val="000000"/>
                <w:lang w:val="uk-UA"/>
              </w:rPr>
            </w:pPr>
            <w:r w:rsidRPr="00DD262C">
              <w:rPr>
                <w:rFonts w:ascii="Times New Roman" w:hAnsi="Times New Roman" w:cs="Times New Roman"/>
                <w:color w:val="000000"/>
                <w:lang w:val="uk-UA"/>
              </w:rPr>
              <w:t>1000,00</w:t>
            </w:r>
          </w:p>
        </w:tc>
        <w:tc>
          <w:tcPr>
            <w:tcW w:w="1702"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1000,0</w:t>
            </w:r>
          </w:p>
        </w:tc>
        <w:tc>
          <w:tcPr>
            <w:tcW w:w="1744"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6,051671</w:t>
            </w:r>
          </w:p>
        </w:tc>
      </w:tr>
      <w:tr w:rsidR="00DD262C" w:rsidRPr="00DD262C" w:rsidTr="00B80E44">
        <w:trPr>
          <w:jc w:val="center"/>
        </w:trPr>
        <w:tc>
          <w:tcPr>
            <w:tcW w:w="825"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w:t>
            </w:r>
          </w:p>
        </w:tc>
        <w:tc>
          <w:tcPr>
            <w:tcW w:w="3561" w:type="dxa"/>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ТОВ «Карбон ЛТД», Україна</w:t>
            </w:r>
          </w:p>
        </w:tc>
        <w:tc>
          <w:tcPr>
            <w:tcW w:w="1843" w:type="dxa"/>
            <w:vAlign w:val="center"/>
          </w:tcPr>
          <w:p w:rsidR="00DD262C" w:rsidRPr="00DD262C" w:rsidRDefault="00DD262C" w:rsidP="00B80E44">
            <w:pPr>
              <w:tabs>
                <w:tab w:val="left" w:pos="1728"/>
              </w:tabs>
              <w:jc w:val="center"/>
              <w:rPr>
                <w:rFonts w:ascii="Times New Roman" w:hAnsi="Times New Roman" w:cs="Times New Roman"/>
                <w:color w:val="000000"/>
                <w:lang w:val="uk-UA"/>
              </w:rPr>
            </w:pPr>
            <w:r w:rsidRPr="00DD262C">
              <w:rPr>
                <w:rFonts w:ascii="Times New Roman" w:hAnsi="Times New Roman" w:cs="Times New Roman"/>
                <w:color w:val="000000"/>
                <w:lang w:val="uk-UA"/>
              </w:rPr>
              <w:t>424,25</w:t>
            </w:r>
          </w:p>
        </w:tc>
        <w:tc>
          <w:tcPr>
            <w:tcW w:w="1702"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424,25</w:t>
            </w:r>
          </w:p>
        </w:tc>
        <w:tc>
          <w:tcPr>
            <w:tcW w:w="1744"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2,567421</w:t>
            </w:r>
          </w:p>
        </w:tc>
      </w:tr>
      <w:tr w:rsidR="00DD262C" w:rsidRPr="00DD262C" w:rsidTr="00B80E44">
        <w:trPr>
          <w:jc w:val="center"/>
        </w:trPr>
        <w:tc>
          <w:tcPr>
            <w:tcW w:w="825" w:type="dxa"/>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c>
          <w:tcPr>
            <w:tcW w:w="3561" w:type="dxa"/>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ПП «Фінвест»</w:t>
            </w:r>
          </w:p>
        </w:tc>
        <w:tc>
          <w:tcPr>
            <w:tcW w:w="1843" w:type="dxa"/>
            <w:vAlign w:val="center"/>
          </w:tcPr>
          <w:p w:rsidR="00DD262C" w:rsidRPr="00DD262C" w:rsidRDefault="00DD262C" w:rsidP="00B80E44">
            <w:pPr>
              <w:tabs>
                <w:tab w:val="left" w:pos="1728"/>
              </w:tabs>
              <w:jc w:val="center"/>
              <w:rPr>
                <w:rFonts w:ascii="Times New Roman" w:hAnsi="Times New Roman" w:cs="Times New Roman"/>
                <w:color w:val="FF0000"/>
                <w:lang w:val="uk-UA"/>
              </w:rPr>
            </w:pPr>
            <w:r w:rsidRPr="00DD262C">
              <w:rPr>
                <w:rFonts w:ascii="Times New Roman" w:hAnsi="Times New Roman" w:cs="Times New Roman"/>
                <w:color w:val="FF0000"/>
                <w:lang w:val="uk-UA"/>
              </w:rPr>
              <w:t>1643,93</w:t>
            </w:r>
          </w:p>
        </w:tc>
        <w:tc>
          <w:tcPr>
            <w:tcW w:w="1702" w:type="dxa"/>
            <w:vAlign w:val="center"/>
          </w:tcPr>
          <w:p w:rsidR="00DD262C" w:rsidRPr="00DD262C" w:rsidRDefault="00DD262C" w:rsidP="00B80E44">
            <w:pPr>
              <w:jc w:val="center"/>
              <w:rPr>
                <w:rFonts w:ascii="Times New Roman" w:hAnsi="Times New Roman" w:cs="Times New Roman"/>
                <w:color w:val="FF0000"/>
                <w:lang w:val="uk-UA"/>
              </w:rPr>
            </w:pPr>
            <w:r w:rsidRPr="00DD262C">
              <w:rPr>
                <w:rFonts w:ascii="Times New Roman" w:hAnsi="Times New Roman" w:cs="Times New Roman"/>
                <w:color w:val="FF0000"/>
                <w:lang w:val="uk-UA"/>
              </w:rPr>
              <w:t>1643,93</w:t>
            </w:r>
          </w:p>
        </w:tc>
        <w:tc>
          <w:tcPr>
            <w:tcW w:w="1744" w:type="dxa"/>
            <w:vAlign w:val="center"/>
          </w:tcPr>
          <w:p w:rsidR="00DD262C" w:rsidRPr="00DD262C" w:rsidRDefault="00DD262C" w:rsidP="00B80E44">
            <w:pPr>
              <w:jc w:val="center"/>
              <w:rPr>
                <w:rFonts w:ascii="Times New Roman" w:hAnsi="Times New Roman" w:cs="Times New Roman"/>
                <w:color w:val="FF0000"/>
                <w:lang w:val="uk-UA"/>
              </w:rPr>
            </w:pPr>
            <w:r w:rsidRPr="00DD262C">
              <w:rPr>
                <w:rFonts w:ascii="Times New Roman" w:hAnsi="Times New Roman" w:cs="Times New Roman"/>
                <w:color w:val="FF0000"/>
                <w:lang w:val="uk-UA"/>
              </w:rPr>
              <w:t>9,948524</w:t>
            </w:r>
          </w:p>
        </w:tc>
      </w:tr>
      <w:tr w:rsidR="00DD262C" w:rsidRPr="00DD262C" w:rsidTr="00B80E44">
        <w:trPr>
          <w:jc w:val="center"/>
        </w:trPr>
        <w:tc>
          <w:tcPr>
            <w:tcW w:w="825" w:type="dxa"/>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5</w:t>
            </w:r>
          </w:p>
        </w:tc>
        <w:tc>
          <w:tcPr>
            <w:tcW w:w="3561" w:type="dxa"/>
            <w:vAlign w:val="center"/>
          </w:tcPr>
          <w:p w:rsidR="00DD262C" w:rsidRPr="00DD262C" w:rsidRDefault="00DD262C" w:rsidP="00B80E44">
            <w:pPr>
              <w:ind w:right="140"/>
              <w:rPr>
                <w:rFonts w:ascii="Times New Roman" w:hAnsi="Times New Roman" w:cs="Times New Roman"/>
                <w:b/>
                <w:color w:val="000000"/>
                <w:lang w:val="uk-UA"/>
              </w:rPr>
            </w:pPr>
            <w:r w:rsidRPr="00DD262C">
              <w:rPr>
                <w:rFonts w:ascii="Times New Roman" w:hAnsi="Times New Roman" w:cs="Times New Roman"/>
                <w:b/>
                <w:color w:val="000000"/>
                <w:lang w:val="uk-UA"/>
              </w:rPr>
              <w:t>Всього</w:t>
            </w:r>
          </w:p>
        </w:tc>
        <w:tc>
          <w:tcPr>
            <w:tcW w:w="1843" w:type="dxa"/>
            <w:vAlign w:val="center"/>
          </w:tcPr>
          <w:p w:rsidR="00DD262C" w:rsidRPr="00DD262C" w:rsidRDefault="00DD262C" w:rsidP="00B80E44">
            <w:pPr>
              <w:tabs>
                <w:tab w:val="left" w:pos="1728"/>
              </w:tabs>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16524,36</w:t>
            </w:r>
          </w:p>
        </w:tc>
        <w:tc>
          <w:tcPr>
            <w:tcW w:w="1702" w:type="dxa"/>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16524,36</w:t>
            </w:r>
          </w:p>
        </w:tc>
        <w:tc>
          <w:tcPr>
            <w:tcW w:w="1744" w:type="dxa"/>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100</w:t>
            </w:r>
          </w:p>
        </w:tc>
      </w:tr>
    </w:tbl>
    <w:p w:rsidR="00DD262C" w:rsidRPr="00DD262C" w:rsidRDefault="00DD262C" w:rsidP="00DD262C">
      <w:pPr>
        <w:pStyle w:val="a3"/>
        <w:ind w:right="0" w:firstLine="540"/>
      </w:pPr>
    </w:p>
    <w:p w:rsidR="00DD262C" w:rsidRPr="00DD262C" w:rsidRDefault="00DD262C" w:rsidP="00DD262C">
      <w:pPr>
        <w:widowControl w:val="0"/>
        <w:suppressLineNumbers/>
        <w:suppressAutoHyphens/>
        <w:ind w:firstLine="539"/>
        <w:jc w:val="both"/>
        <w:rPr>
          <w:rFonts w:ascii="Times New Roman" w:hAnsi="Times New Roman" w:cs="Times New Roman"/>
          <w:color w:val="000000"/>
          <w:lang w:val="uk-UA"/>
        </w:rPr>
      </w:pPr>
      <w:r w:rsidRPr="00DD262C">
        <w:rPr>
          <w:rFonts w:ascii="Times New Roman" w:hAnsi="Times New Roman" w:cs="Times New Roman"/>
          <w:color w:val="000000"/>
          <w:lang w:val="uk-UA"/>
        </w:rPr>
        <w:t>Інформації щодо засновників, яким належить істотна участь в Статутному капіталі    ПрАТ «СК «САТІС»:</w:t>
      </w:r>
    </w:p>
    <w:p w:rsidR="00DD262C" w:rsidRPr="00DD262C" w:rsidRDefault="00DD262C" w:rsidP="00DD262C">
      <w:pPr>
        <w:widowControl w:val="0"/>
        <w:suppressLineNumbers/>
        <w:suppressAutoHyphens/>
        <w:ind w:left="510"/>
        <w:jc w:val="both"/>
        <w:rPr>
          <w:rFonts w:ascii="Times New Roman" w:hAnsi="Times New Roman" w:cs="Times New Roman"/>
          <w:color w:val="000000"/>
          <w:lang w:val="uk-UA"/>
        </w:rPr>
      </w:pPr>
      <w:r w:rsidRPr="00DD262C">
        <w:rPr>
          <w:rFonts w:ascii="Times New Roman" w:hAnsi="Times New Roman" w:cs="Times New Roman"/>
          <w:color w:val="000000"/>
          <w:lang w:val="uk-UA"/>
        </w:rPr>
        <w:t>- Яхниця Олександр Ігорович - Частка в статутному капіталі – 23,494646 %</w:t>
      </w:r>
    </w:p>
    <w:p w:rsidR="00DD262C" w:rsidRPr="00DD262C" w:rsidRDefault="00DD262C" w:rsidP="00DD262C">
      <w:pPr>
        <w:widowControl w:val="0"/>
        <w:suppressLineNumbers/>
        <w:suppressAutoHyphens/>
        <w:ind w:left="510"/>
        <w:jc w:val="both"/>
        <w:rPr>
          <w:rFonts w:ascii="Times New Roman" w:hAnsi="Times New Roman" w:cs="Times New Roman"/>
          <w:color w:val="000000"/>
          <w:lang w:val="uk-UA"/>
        </w:rPr>
      </w:pPr>
      <w:r w:rsidRPr="00DD262C">
        <w:rPr>
          <w:rFonts w:ascii="Times New Roman" w:hAnsi="Times New Roman" w:cs="Times New Roman"/>
          <w:color w:val="000000"/>
          <w:lang w:val="uk-UA"/>
        </w:rPr>
        <w:t>- Яхниця Ірина Сергіївна - Частка в статутному капіталі – 24,234342 %</w:t>
      </w:r>
    </w:p>
    <w:p w:rsidR="00DD262C" w:rsidRPr="00DD262C" w:rsidRDefault="00DD262C" w:rsidP="00DD262C">
      <w:pPr>
        <w:widowControl w:val="0"/>
        <w:suppressLineNumbers/>
        <w:suppressAutoHyphens/>
        <w:ind w:left="510"/>
        <w:jc w:val="both"/>
        <w:rPr>
          <w:rFonts w:ascii="Times New Roman" w:hAnsi="Times New Roman" w:cs="Times New Roman"/>
          <w:color w:val="000000"/>
          <w:lang w:val="uk-UA"/>
        </w:rPr>
      </w:pPr>
    </w:p>
    <w:p w:rsidR="00DD262C" w:rsidRPr="00DD262C" w:rsidRDefault="00DD262C" w:rsidP="00DD262C">
      <w:pPr>
        <w:widowControl w:val="0"/>
        <w:suppressLineNumbers/>
        <w:suppressAutoHyphens/>
        <w:ind w:firstLine="567"/>
        <w:jc w:val="both"/>
        <w:rPr>
          <w:rFonts w:ascii="Times New Roman" w:hAnsi="Times New Roman" w:cs="Times New Roman"/>
          <w:lang w:val="uk-UA"/>
        </w:rPr>
      </w:pPr>
      <w:r w:rsidRPr="00DD262C">
        <w:rPr>
          <w:rFonts w:ascii="Times New Roman" w:hAnsi="Times New Roman" w:cs="Times New Roman"/>
          <w:color w:val="000000"/>
          <w:lang w:val="uk-UA"/>
        </w:rPr>
        <w:t xml:space="preserve">Кінцевий бенефіціарний власник ПрАТ «СК «САТІС» </w:t>
      </w:r>
      <w:r w:rsidRPr="00DD262C">
        <w:rPr>
          <w:rFonts w:ascii="Times New Roman" w:hAnsi="Times New Roman" w:cs="Times New Roman"/>
          <w:lang w:val="uk-UA"/>
        </w:rPr>
        <w:t>Яхниця Олександр Ігорович.</w:t>
      </w:r>
    </w:p>
    <w:p w:rsidR="00DD262C" w:rsidRPr="00DD262C" w:rsidRDefault="00DD262C" w:rsidP="00DD262C">
      <w:pPr>
        <w:ind w:firstLine="360"/>
        <w:jc w:val="both"/>
        <w:rPr>
          <w:rFonts w:ascii="Times New Roman" w:hAnsi="Times New Roman" w:cs="Times New Roman"/>
          <w:color w:val="000000" w:themeColor="text1"/>
          <w:lang w:val="uk-UA"/>
        </w:rPr>
      </w:pPr>
      <w:r w:rsidRPr="00DD262C">
        <w:rPr>
          <w:rFonts w:ascii="Times New Roman" w:hAnsi="Times New Roman" w:cs="Times New Roman"/>
          <w:color w:val="000000" w:themeColor="text1"/>
          <w:lang w:val="uk-UA"/>
        </w:rPr>
        <w:t xml:space="preserve">Страхова компанія не випускала  акцій, призначених для випуску за умовами опціонів і контрактів з продажу. </w:t>
      </w:r>
      <w:r w:rsidRPr="00DD262C">
        <w:rPr>
          <w:rFonts w:ascii="Times New Roman" w:hAnsi="Times New Roman" w:cs="Times New Roman"/>
          <w:color w:val="000000" w:themeColor="text1"/>
          <w:lang w:val="uk-UA"/>
        </w:rPr>
        <w:tab/>
      </w:r>
    </w:p>
    <w:p w:rsidR="00DD262C" w:rsidRPr="00DD262C" w:rsidRDefault="00DD262C" w:rsidP="00DD262C">
      <w:pPr>
        <w:pStyle w:val="a3"/>
        <w:ind w:right="0" w:firstLine="540"/>
        <w:rPr>
          <w:color w:val="000000" w:themeColor="text1"/>
        </w:rPr>
      </w:pPr>
      <w:r w:rsidRPr="00DD262C">
        <w:rPr>
          <w:color w:val="000000" w:themeColor="text1"/>
        </w:rPr>
        <w:t xml:space="preserve">Власний капітал ПрАТ «СК «Сатіс» станом на 31.12.2022р. становить 47 246,0 тис.грн. </w:t>
      </w:r>
    </w:p>
    <w:p w:rsidR="00DD262C" w:rsidRPr="00DD262C" w:rsidRDefault="00DD262C" w:rsidP="00DD262C">
      <w:pPr>
        <w:pStyle w:val="a3"/>
        <w:ind w:right="0" w:firstLine="539"/>
        <w:rPr>
          <w:color w:val="000000" w:themeColor="text1"/>
        </w:rPr>
      </w:pPr>
      <w:r w:rsidRPr="00DD262C">
        <w:rPr>
          <w:color w:val="000000" w:themeColor="text1"/>
        </w:rPr>
        <w:t xml:space="preserve">Порівняно з кінцем 2021 року власний капітал Компанії збільшився  на 836,00 тис. грн.  </w:t>
      </w:r>
    </w:p>
    <w:p w:rsidR="00DD262C" w:rsidRPr="00DD262C" w:rsidRDefault="00DD262C" w:rsidP="00DD262C">
      <w:pPr>
        <w:pStyle w:val="a3"/>
        <w:ind w:right="0" w:firstLine="539"/>
        <w:jc w:val="right"/>
        <w:rPr>
          <w:color w:val="000000" w:themeColor="text1"/>
          <w:sz w:val="18"/>
          <w:szCs w:val="18"/>
        </w:rPr>
      </w:pPr>
    </w:p>
    <w:p w:rsidR="00DD262C" w:rsidRPr="00DD262C" w:rsidRDefault="00DD262C" w:rsidP="00DD262C">
      <w:pPr>
        <w:pStyle w:val="a3"/>
        <w:ind w:right="0" w:firstLine="539"/>
        <w:jc w:val="center"/>
        <w:rPr>
          <w:color w:val="000000" w:themeColor="text1"/>
          <w:sz w:val="18"/>
          <w:szCs w:val="18"/>
        </w:rPr>
      </w:pPr>
      <w:r w:rsidRPr="00DD262C">
        <w:rPr>
          <w:color w:val="000000" w:themeColor="text1"/>
          <w:sz w:val="18"/>
          <w:szCs w:val="18"/>
        </w:rPr>
        <w:t xml:space="preserve">                                                                                           Таб.6.8.2. тис.грн.</w:t>
      </w:r>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2260"/>
        <w:gridCol w:w="1640"/>
      </w:tblGrid>
      <w:tr w:rsidR="00DD262C" w:rsidRPr="00DD262C" w:rsidTr="00B80E44">
        <w:trPr>
          <w:trHeight w:val="186"/>
        </w:trPr>
        <w:tc>
          <w:tcPr>
            <w:tcW w:w="3980" w:type="dxa"/>
            <w:shd w:val="clear" w:color="auto" w:fill="8496B0" w:themeFill="text2" w:themeFillTint="99"/>
            <w:hideMark/>
          </w:tcPr>
          <w:p w:rsidR="00DD262C" w:rsidRPr="00DD262C" w:rsidRDefault="00DD262C" w:rsidP="00B80E44">
            <w:pPr>
              <w:jc w:val="center"/>
              <w:rPr>
                <w:rFonts w:ascii="Times New Roman" w:eastAsia="Times New Roman" w:hAnsi="Times New Roman" w:cs="Times New Roman"/>
                <w:b/>
                <w:bCs/>
                <w:lang w:val="uk-UA"/>
              </w:rPr>
            </w:pPr>
            <w:r w:rsidRPr="00DD262C">
              <w:rPr>
                <w:rFonts w:ascii="Times New Roman" w:hAnsi="Times New Roman" w:cs="Times New Roman"/>
                <w:b/>
                <w:lang w:val="uk-UA"/>
              </w:rPr>
              <w:t>Найменування статті</w:t>
            </w:r>
          </w:p>
        </w:tc>
        <w:tc>
          <w:tcPr>
            <w:tcW w:w="2260" w:type="dxa"/>
            <w:shd w:val="clear" w:color="auto" w:fill="8496B0" w:themeFill="text2" w:themeFillTint="99"/>
            <w:hideMark/>
          </w:tcPr>
          <w:p w:rsidR="00DD262C" w:rsidRPr="00DD262C" w:rsidRDefault="00DD262C" w:rsidP="00B80E44">
            <w:pPr>
              <w:rPr>
                <w:rFonts w:ascii="Times New Roman" w:eastAsia="Times New Roman" w:hAnsi="Times New Roman" w:cs="Times New Roman"/>
                <w:b/>
                <w:color w:val="000000"/>
                <w:lang w:val="uk-UA"/>
              </w:rPr>
            </w:pPr>
            <w:r w:rsidRPr="00DD262C">
              <w:rPr>
                <w:rFonts w:ascii="Times New Roman" w:hAnsi="Times New Roman" w:cs="Times New Roman"/>
                <w:b/>
                <w:lang w:val="uk-UA"/>
              </w:rPr>
              <w:t>2021 рік</w:t>
            </w:r>
          </w:p>
        </w:tc>
        <w:tc>
          <w:tcPr>
            <w:tcW w:w="1640" w:type="dxa"/>
            <w:shd w:val="clear" w:color="auto" w:fill="8496B0" w:themeFill="text2" w:themeFillTint="99"/>
            <w:hideMark/>
          </w:tcPr>
          <w:p w:rsidR="00DD262C" w:rsidRPr="00DD262C" w:rsidRDefault="00DD262C" w:rsidP="00B80E44">
            <w:pPr>
              <w:rPr>
                <w:rFonts w:ascii="Times New Roman" w:eastAsia="Times New Roman" w:hAnsi="Times New Roman" w:cs="Times New Roman"/>
                <w:b/>
                <w:color w:val="000000"/>
                <w:lang w:val="uk-UA"/>
              </w:rPr>
            </w:pPr>
            <w:r w:rsidRPr="00DD262C">
              <w:rPr>
                <w:rFonts w:ascii="Times New Roman" w:hAnsi="Times New Roman" w:cs="Times New Roman"/>
                <w:b/>
                <w:lang w:val="uk-UA"/>
              </w:rPr>
              <w:t>2022 рік</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lang w:val="uk-UA"/>
              </w:rPr>
            </w:pPr>
            <w:r w:rsidRPr="00DD262C">
              <w:rPr>
                <w:rFonts w:ascii="Times New Roman" w:eastAsia="Times New Roman" w:hAnsi="Times New Roman" w:cs="Times New Roman"/>
                <w:lang w:val="uk-UA"/>
              </w:rPr>
              <w:t>Зареєстрований (пайовий) капітал</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16 524</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16 524</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lang w:val="uk-UA"/>
              </w:rPr>
            </w:pPr>
            <w:r w:rsidRPr="00DD262C">
              <w:rPr>
                <w:rFonts w:ascii="Times New Roman" w:eastAsia="Times New Roman" w:hAnsi="Times New Roman" w:cs="Times New Roman"/>
                <w:lang w:val="uk-UA"/>
              </w:rPr>
              <w:t>Капітал у дооцінках</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5 265</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5 265</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lang w:val="uk-UA"/>
              </w:rPr>
            </w:pPr>
            <w:r w:rsidRPr="00DD262C">
              <w:rPr>
                <w:rFonts w:ascii="Times New Roman" w:eastAsia="Times New Roman" w:hAnsi="Times New Roman" w:cs="Times New Roman"/>
                <w:lang w:val="uk-UA"/>
              </w:rPr>
              <w:t>Додатковий капітал</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19 287</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19 287</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lang w:val="uk-UA"/>
              </w:rPr>
            </w:pPr>
            <w:r w:rsidRPr="00DD262C">
              <w:rPr>
                <w:rFonts w:ascii="Times New Roman" w:eastAsia="Times New Roman" w:hAnsi="Times New Roman" w:cs="Times New Roman"/>
                <w:lang w:val="uk-UA"/>
              </w:rPr>
              <w:t>Резервний капітал</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6 579</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6 579</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lang w:val="uk-UA"/>
              </w:rPr>
            </w:pPr>
            <w:r w:rsidRPr="00DD262C">
              <w:rPr>
                <w:rFonts w:ascii="Times New Roman" w:eastAsia="Times New Roman" w:hAnsi="Times New Roman" w:cs="Times New Roman"/>
                <w:lang w:val="uk-UA"/>
              </w:rPr>
              <w:t>Нерозподілений прибуток (непокритий збиток)</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(1 245)</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color w:val="000000"/>
                <w:lang w:val="uk-UA"/>
              </w:rPr>
            </w:pPr>
            <w:r w:rsidRPr="00DD262C">
              <w:rPr>
                <w:rFonts w:ascii="Times New Roman" w:eastAsia="Times New Roman" w:hAnsi="Times New Roman" w:cs="Times New Roman"/>
                <w:color w:val="000000"/>
                <w:lang w:val="uk-UA"/>
              </w:rPr>
              <w:t>(50)</w:t>
            </w:r>
          </w:p>
        </w:tc>
      </w:tr>
      <w:tr w:rsidR="00DD262C" w:rsidRPr="00DD262C" w:rsidTr="00B80E44">
        <w:trPr>
          <w:trHeight w:val="195"/>
        </w:trPr>
        <w:tc>
          <w:tcPr>
            <w:tcW w:w="3980" w:type="dxa"/>
            <w:shd w:val="clear" w:color="auto" w:fill="auto"/>
            <w:hideMark/>
          </w:tcPr>
          <w:p w:rsidR="00DD262C" w:rsidRPr="00DD262C" w:rsidRDefault="00DD262C" w:rsidP="00B80E44">
            <w:pPr>
              <w:rPr>
                <w:rFonts w:ascii="Times New Roman" w:eastAsia="Times New Roman" w:hAnsi="Times New Roman" w:cs="Times New Roman"/>
                <w:bCs/>
                <w:lang w:val="uk-UA"/>
              </w:rPr>
            </w:pPr>
            <w:r w:rsidRPr="00DD262C">
              <w:rPr>
                <w:rFonts w:ascii="Times New Roman" w:eastAsia="Times New Roman" w:hAnsi="Times New Roman" w:cs="Times New Roman"/>
                <w:bCs/>
                <w:lang w:val="uk-UA"/>
              </w:rPr>
              <w:t xml:space="preserve">Усього </w:t>
            </w:r>
          </w:p>
        </w:tc>
        <w:tc>
          <w:tcPr>
            <w:tcW w:w="2260" w:type="dxa"/>
            <w:shd w:val="clear" w:color="auto" w:fill="auto"/>
            <w:noWrap/>
            <w:hideMark/>
          </w:tcPr>
          <w:p w:rsidR="00DD262C" w:rsidRPr="00DD262C" w:rsidRDefault="00DD262C" w:rsidP="00B80E44">
            <w:pPr>
              <w:jc w:val="center"/>
              <w:rPr>
                <w:rFonts w:ascii="Times New Roman" w:eastAsia="Times New Roman" w:hAnsi="Times New Roman" w:cs="Times New Roman"/>
                <w:bCs/>
                <w:color w:val="000000"/>
                <w:lang w:val="uk-UA"/>
              </w:rPr>
            </w:pPr>
            <w:r w:rsidRPr="00DD262C">
              <w:rPr>
                <w:rFonts w:ascii="Times New Roman" w:eastAsia="Times New Roman" w:hAnsi="Times New Roman" w:cs="Times New Roman"/>
                <w:bCs/>
                <w:color w:val="000000"/>
                <w:lang w:val="uk-UA"/>
              </w:rPr>
              <w:t>46 410</w:t>
            </w:r>
          </w:p>
        </w:tc>
        <w:tc>
          <w:tcPr>
            <w:tcW w:w="1640" w:type="dxa"/>
            <w:shd w:val="clear" w:color="auto" w:fill="auto"/>
            <w:noWrap/>
            <w:hideMark/>
          </w:tcPr>
          <w:p w:rsidR="00DD262C" w:rsidRPr="00DD262C" w:rsidRDefault="00DD262C" w:rsidP="00B80E44">
            <w:pPr>
              <w:jc w:val="center"/>
              <w:rPr>
                <w:rFonts w:ascii="Times New Roman" w:eastAsia="Times New Roman" w:hAnsi="Times New Roman" w:cs="Times New Roman"/>
                <w:bCs/>
                <w:color w:val="000000"/>
                <w:lang w:val="uk-UA"/>
              </w:rPr>
            </w:pPr>
            <w:r w:rsidRPr="00DD262C">
              <w:rPr>
                <w:rFonts w:ascii="Times New Roman" w:eastAsia="Times New Roman" w:hAnsi="Times New Roman" w:cs="Times New Roman"/>
                <w:bCs/>
                <w:color w:val="000000"/>
                <w:lang w:val="uk-UA"/>
              </w:rPr>
              <w:t>47 605</w:t>
            </w:r>
          </w:p>
        </w:tc>
      </w:tr>
    </w:tbl>
    <w:p w:rsidR="00DD262C" w:rsidRPr="00DD262C" w:rsidRDefault="00DD262C" w:rsidP="00DD262C">
      <w:pPr>
        <w:pStyle w:val="a3"/>
        <w:ind w:left="-567" w:right="0" w:firstLine="1106"/>
        <w:rPr>
          <w:color w:val="000000" w:themeColor="text1"/>
          <w:sz w:val="20"/>
          <w:szCs w:val="20"/>
        </w:rPr>
      </w:pPr>
    </w:p>
    <w:p w:rsidR="00DD262C" w:rsidRPr="00DD262C" w:rsidRDefault="00DD262C" w:rsidP="00DD262C">
      <w:pPr>
        <w:pStyle w:val="a3"/>
        <w:ind w:left="-567" w:right="0" w:firstLine="1106"/>
        <w:rPr>
          <w:color w:val="000000" w:themeColor="text1"/>
          <w:sz w:val="20"/>
          <w:szCs w:val="20"/>
        </w:rPr>
      </w:pPr>
    </w:p>
    <w:p w:rsidR="00DD262C" w:rsidRPr="00DD262C" w:rsidRDefault="00DD262C" w:rsidP="00DD262C">
      <w:pPr>
        <w:pStyle w:val="a3"/>
        <w:ind w:right="0" w:firstLine="539"/>
        <w:rPr>
          <w:color w:val="000000" w:themeColor="text1"/>
        </w:rPr>
      </w:pPr>
    </w:p>
    <w:p w:rsidR="00DD262C" w:rsidRPr="00DD262C" w:rsidRDefault="00DD262C" w:rsidP="00DD262C">
      <w:pPr>
        <w:pStyle w:val="a3"/>
        <w:ind w:right="140"/>
        <w:rPr>
          <w:b/>
          <w:bCs/>
          <w:color w:val="000000"/>
          <w:lang w:eastAsia="ru-RU"/>
        </w:rPr>
      </w:pPr>
      <w:bookmarkStart w:id="18" w:name="_Ref169418147"/>
      <w:bookmarkStart w:id="19" w:name="_Ref319483874"/>
      <w:bookmarkStart w:id="20" w:name="_Toc320725132"/>
      <w:r w:rsidRPr="00DD262C">
        <w:rPr>
          <w:sz w:val="20"/>
        </w:rPr>
        <w:t xml:space="preserve"> </w:t>
      </w:r>
      <w:r w:rsidRPr="00DD262C">
        <w:rPr>
          <w:b/>
          <w:i/>
        </w:rPr>
        <w:t xml:space="preserve">6.9.  </w:t>
      </w:r>
      <w:r w:rsidRPr="00DD262C">
        <w:rPr>
          <w:b/>
          <w:bCs/>
          <w:color w:val="000000"/>
          <w:lang w:eastAsia="ru-RU"/>
        </w:rPr>
        <w:t xml:space="preserve">Довгострокові зобов’язання і забезпечення </w:t>
      </w:r>
    </w:p>
    <w:p w:rsidR="00DD262C" w:rsidRPr="00DD262C" w:rsidRDefault="00DD262C" w:rsidP="00DD262C">
      <w:pPr>
        <w:widowControl w:val="0"/>
        <w:ind w:firstLine="540"/>
        <w:jc w:val="both"/>
        <w:rPr>
          <w:rFonts w:ascii="Times New Roman" w:hAnsi="Times New Roman" w:cs="Times New Roman"/>
          <w:lang w:val="uk-UA"/>
        </w:rPr>
      </w:pPr>
      <w:r w:rsidRPr="00DD262C">
        <w:rPr>
          <w:rFonts w:ascii="Times New Roman" w:hAnsi="Times New Roman" w:cs="Times New Roman"/>
          <w:lang w:val="uk-UA"/>
        </w:rPr>
        <w:t>Облік і визнання зобов'язань та резервів Товариства здійснюється відповідно до МСБО 37 «Забезпечення, умовні зобов'язання та умовні активи».</w:t>
      </w:r>
    </w:p>
    <w:p w:rsidR="00DD262C" w:rsidRPr="00DD262C" w:rsidRDefault="00DD262C" w:rsidP="00DD262C">
      <w:pPr>
        <w:widowControl w:val="0"/>
        <w:ind w:firstLine="567"/>
        <w:jc w:val="both"/>
        <w:rPr>
          <w:rFonts w:ascii="Times New Roman" w:hAnsi="Times New Roman" w:cs="Times New Roman"/>
          <w:lang w:val="uk-UA"/>
        </w:rPr>
      </w:pPr>
      <w:r w:rsidRPr="00DD262C">
        <w:rPr>
          <w:rFonts w:ascii="Times New Roman" w:hAnsi="Times New Roman" w:cs="Times New Roman"/>
          <w:lang w:val="uk-UA"/>
        </w:rPr>
        <w:t>Резерви визнаються, якщо Товариство в результаті певної події в минулому має юридичні або фактичні зобов'язання, для врегулювання яких з більшим ступенем імовірності буде потрібно відтік ресурсів, і які можна оцінити з достатньою надійністю.</w:t>
      </w:r>
    </w:p>
    <w:p w:rsidR="00DD262C" w:rsidRPr="00DD262C" w:rsidRDefault="00DD262C" w:rsidP="00DD262C">
      <w:pPr>
        <w:widowControl w:val="0"/>
        <w:ind w:firstLine="567"/>
        <w:jc w:val="both"/>
        <w:rPr>
          <w:rFonts w:ascii="Times New Roman" w:hAnsi="Times New Roman" w:cs="Times New Roman"/>
          <w:lang w:val="uk-UA"/>
        </w:rPr>
      </w:pPr>
      <w:r w:rsidRPr="00DD262C">
        <w:rPr>
          <w:rFonts w:ascii="Times New Roman" w:hAnsi="Times New Roman" w:cs="Times New Roman"/>
          <w:lang w:val="uk-UA"/>
        </w:rPr>
        <w:t xml:space="preserve">Товариство визнає в якості резервів – резерв відпусток. </w:t>
      </w:r>
    </w:p>
    <w:p w:rsidR="00DD262C" w:rsidRPr="00DD262C" w:rsidRDefault="00DD262C" w:rsidP="00DD262C">
      <w:pPr>
        <w:widowControl w:val="0"/>
        <w:ind w:firstLine="567"/>
        <w:jc w:val="both"/>
        <w:rPr>
          <w:rFonts w:ascii="Times New Roman" w:hAnsi="Times New Roman" w:cs="Times New Roman"/>
          <w:lang w:val="uk-UA"/>
        </w:rPr>
      </w:pPr>
      <w:r w:rsidRPr="00DD262C">
        <w:rPr>
          <w:rFonts w:ascii="Times New Roman" w:hAnsi="Times New Roman" w:cs="Times New Roman"/>
          <w:lang w:val="uk-UA"/>
        </w:rPr>
        <w:t>Станом на 31 грудня 2022 р. він складає 244,0 тис.грн.</w:t>
      </w:r>
    </w:p>
    <w:p w:rsidR="00DD262C" w:rsidRPr="00DD262C" w:rsidRDefault="00DD262C" w:rsidP="00DD262C">
      <w:pPr>
        <w:tabs>
          <w:tab w:val="center" w:pos="4819"/>
          <w:tab w:val="right" w:pos="9639"/>
        </w:tabs>
        <w:ind w:firstLine="567"/>
        <w:jc w:val="both"/>
        <w:rPr>
          <w:rFonts w:ascii="Times New Roman" w:hAnsi="Times New Roman" w:cs="Times New Roman"/>
          <w:lang w:val="uk-UA"/>
        </w:rPr>
      </w:pPr>
      <w:r w:rsidRPr="00DD262C">
        <w:rPr>
          <w:rFonts w:ascii="Times New Roman" w:hAnsi="Times New Roman" w:cs="Times New Roman"/>
          <w:color w:val="000000"/>
          <w:lang w:val="uk-UA"/>
        </w:rPr>
        <w:t>Страхові резерви є оцінкою обсягу зобов’язань Товариства для здійснення майбутніх виплат страхового відшкодування за договорами страхування (перестрахування).</w:t>
      </w:r>
    </w:p>
    <w:p w:rsidR="00DD262C" w:rsidRPr="00DD262C" w:rsidRDefault="00DD262C" w:rsidP="00DD262C">
      <w:pPr>
        <w:widowControl w:val="0"/>
        <w:ind w:firstLine="567"/>
        <w:jc w:val="both"/>
        <w:rPr>
          <w:rFonts w:ascii="Times New Roman" w:hAnsi="Times New Roman" w:cs="Times New Roman"/>
          <w:snapToGrid w:val="0"/>
          <w:lang w:val="uk-UA"/>
        </w:rPr>
      </w:pPr>
      <w:r w:rsidRPr="00DD262C">
        <w:rPr>
          <w:rFonts w:ascii="Times New Roman" w:hAnsi="Times New Roman" w:cs="Times New Roman"/>
          <w:lang w:val="uk-UA"/>
        </w:rPr>
        <w:t xml:space="preserve">Компанією сформовано </w:t>
      </w:r>
      <w:r w:rsidRPr="00DD262C">
        <w:rPr>
          <w:rFonts w:ascii="Times New Roman" w:hAnsi="Times New Roman" w:cs="Times New Roman"/>
          <w:snapToGrid w:val="0"/>
          <w:lang w:val="uk-UA"/>
        </w:rPr>
        <w:t>резерв незароблених премій (РНП)</w:t>
      </w:r>
    </w:p>
    <w:p w:rsidR="00DD262C" w:rsidRPr="00DD262C" w:rsidRDefault="00DD262C" w:rsidP="00DD262C">
      <w:pPr>
        <w:widowControl w:val="0"/>
        <w:ind w:firstLine="567"/>
        <w:jc w:val="both"/>
        <w:rPr>
          <w:rFonts w:ascii="Times New Roman" w:hAnsi="Times New Roman" w:cs="Times New Roman"/>
          <w:b/>
          <w:bCs/>
          <w:snapToGrid w:val="0"/>
          <w:lang w:val="uk-UA"/>
        </w:rPr>
      </w:pPr>
      <w:r w:rsidRPr="00DD262C">
        <w:rPr>
          <w:rFonts w:ascii="Times New Roman" w:hAnsi="Times New Roman" w:cs="Times New Roman"/>
          <w:snapToGrid w:val="0"/>
          <w:lang w:val="uk-UA"/>
        </w:rPr>
        <w:t xml:space="preserve"> – 1 300,0 тис.грн.</w:t>
      </w:r>
    </w:p>
    <w:p w:rsidR="00DD262C" w:rsidRPr="00DD262C" w:rsidRDefault="00DD262C" w:rsidP="00DD262C">
      <w:pPr>
        <w:widowControl w:val="0"/>
        <w:suppressLineNumbers/>
        <w:ind w:firstLine="540"/>
        <w:jc w:val="both"/>
        <w:rPr>
          <w:rFonts w:ascii="Times New Roman" w:eastAsia="Times New Roman" w:hAnsi="Times New Roman" w:cs="Times New Roman"/>
          <w:b/>
          <w:i/>
          <w:color w:val="000000" w:themeColor="text1"/>
          <w:lang w:val="uk-UA"/>
        </w:rPr>
      </w:pPr>
      <w:r w:rsidRPr="00DD262C">
        <w:rPr>
          <w:rFonts w:ascii="Times New Roman" w:eastAsia="Times New Roman" w:hAnsi="Times New Roman" w:cs="Times New Roman"/>
          <w:b/>
          <w:i/>
          <w:color w:val="000000" w:themeColor="text1"/>
          <w:lang w:val="uk-UA"/>
        </w:rPr>
        <w:t>6.10. Поточні зобов’язання і забезпечення</w:t>
      </w:r>
    </w:p>
    <w:p w:rsidR="00DD262C" w:rsidRPr="00DD262C" w:rsidRDefault="00DD262C" w:rsidP="00DD262C">
      <w:pPr>
        <w:widowControl w:val="0"/>
        <w:ind w:firstLine="540"/>
        <w:jc w:val="both"/>
        <w:rPr>
          <w:rFonts w:ascii="Times New Roman" w:eastAsia="Times New Roman" w:hAnsi="Times New Roman" w:cs="Times New Roman"/>
          <w:lang w:val="uk-UA"/>
        </w:rPr>
      </w:pPr>
      <w:r w:rsidRPr="00DD262C">
        <w:rPr>
          <w:rFonts w:ascii="Times New Roman" w:eastAsia="Times New Roman" w:hAnsi="Times New Roman" w:cs="Times New Roman"/>
          <w:lang w:val="uk-UA"/>
        </w:rPr>
        <w:t>Зобов'язання страхової компанії, класифікуються на довгострокові (строк погашення понад 12 місяців) і поточні (термін погашення до 12 місяців).</w:t>
      </w:r>
    </w:p>
    <w:p w:rsidR="00DD262C" w:rsidRPr="00DD262C" w:rsidRDefault="00DD262C" w:rsidP="00DD262C">
      <w:pPr>
        <w:widowControl w:val="0"/>
        <w:ind w:firstLine="540"/>
        <w:jc w:val="both"/>
        <w:rPr>
          <w:rFonts w:ascii="Times New Roman" w:eastAsia="Times New Roman" w:hAnsi="Times New Roman" w:cs="Times New Roman"/>
          <w:lang w:val="uk-UA"/>
        </w:rPr>
      </w:pPr>
      <w:r w:rsidRPr="00DD262C">
        <w:rPr>
          <w:rFonts w:ascii="Times New Roman" w:eastAsia="Times New Roman" w:hAnsi="Times New Roman" w:cs="Times New Roman"/>
          <w:lang w:val="uk-UA"/>
        </w:rPr>
        <w:t>Поточна кредиторська заборгованість відображена в балансі за первісною вартістю, яка дорівнює справедливій вартості отриманих активів або послуг.</w:t>
      </w:r>
    </w:p>
    <w:p w:rsidR="00DD262C" w:rsidRPr="00DD262C" w:rsidRDefault="00DD262C" w:rsidP="00DD262C">
      <w:pPr>
        <w:jc w:val="both"/>
        <w:rPr>
          <w:rFonts w:ascii="Times New Roman" w:eastAsia="Times New Roman" w:hAnsi="Times New Roman" w:cs="Times New Roman"/>
          <w:lang w:val="uk-UA"/>
        </w:rPr>
      </w:pPr>
      <w:r w:rsidRPr="00DD262C">
        <w:rPr>
          <w:rFonts w:ascii="Times New Roman" w:eastAsia="Times New Roman" w:hAnsi="Times New Roman" w:cs="Times New Roman"/>
          <w:b/>
          <w:bCs/>
          <w:lang w:val="uk-UA"/>
        </w:rPr>
        <w:t xml:space="preserve">     </w:t>
      </w:r>
      <w:r w:rsidRPr="00DD262C">
        <w:rPr>
          <w:rFonts w:ascii="Times New Roman" w:eastAsia="Times New Roman" w:hAnsi="Times New Roman" w:cs="Times New Roman"/>
          <w:lang w:val="uk-UA"/>
        </w:rPr>
        <w:t>Поточні зобов`язання</w:t>
      </w:r>
      <w:r w:rsidRPr="00DD262C">
        <w:rPr>
          <w:rFonts w:ascii="Times New Roman" w:eastAsia="Times New Roman" w:hAnsi="Times New Roman" w:cs="Times New Roman"/>
          <w:color w:val="000000"/>
          <w:lang w:val="uk-UA"/>
        </w:rPr>
        <w:t xml:space="preserve"> </w:t>
      </w:r>
      <w:r w:rsidRPr="00DD262C">
        <w:rPr>
          <w:rFonts w:ascii="Times New Roman" w:eastAsia="Times New Roman" w:hAnsi="Times New Roman" w:cs="Times New Roman"/>
          <w:lang w:val="uk-UA"/>
        </w:rPr>
        <w:t>виглядають так:</w:t>
      </w:r>
    </w:p>
    <w:p w:rsidR="00DD262C" w:rsidRPr="00DD262C" w:rsidRDefault="00DD262C" w:rsidP="00DD262C">
      <w:pPr>
        <w:ind w:left="3540" w:firstLine="708"/>
        <w:jc w:val="right"/>
        <w:rPr>
          <w:rFonts w:ascii="Times New Roman" w:eastAsia="Times New Roman" w:hAnsi="Times New Roman" w:cs="Times New Roman"/>
          <w:sz w:val="18"/>
          <w:szCs w:val="18"/>
          <w:lang w:val="uk-UA"/>
        </w:rPr>
      </w:pPr>
      <w:r w:rsidRPr="00DD262C">
        <w:rPr>
          <w:rFonts w:ascii="Times New Roman" w:eastAsia="Times New Roman" w:hAnsi="Times New Roman" w:cs="Times New Roman"/>
          <w:sz w:val="18"/>
          <w:szCs w:val="18"/>
          <w:lang w:val="uk-UA"/>
        </w:rPr>
        <w:t xml:space="preserve">                          </w:t>
      </w:r>
      <w:r w:rsidRPr="00DD262C">
        <w:rPr>
          <w:rFonts w:ascii="Times New Roman" w:eastAsia="Times New Roman" w:hAnsi="Times New Roman" w:cs="Times New Roman"/>
          <w:sz w:val="18"/>
          <w:szCs w:val="18"/>
          <w:lang w:val="uk-UA"/>
        </w:rPr>
        <w:tab/>
      </w:r>
      <w:r w:rsidRPr="00DD262C">
        <w:rPr>
          <w:rFonts w:ascii="Times New Roman" w:eastAsia="Times New Roman" w:hAnsi="Times New Roman" w:cs="Times New Roman"/>
          <w:sz w:val="18"/>
          <w:szCs w:val="18"/>
          <w:lang w:val="uk-UA"/>
        </w:rPr>
        <w:tab/>
        <w:t xml:space="preserve">  Таб.6.10 (тис.грн.)</w:t>
      </w:r>
    </w:p>
    <w:tbl>
      <w:tblPr>
        <w:tblW w:w="5101" w:type="pct"/>
        <w:tblLook w:val="04A0" w:firstRow="1" w:lastRow="0" w:firstColumn="1" w:lastColumn="0" w:noHBand="0" w:noVBand="1"/>
      </w:tblPr>
      <w:tblGrid>
        <w:gridCol w:w="7860"/>
        <w:gridCol w:w="1051"/>
        <w:gridCol w:w="1250"/>
      </w:tblGrid>
      <w:tr w:rsidR="00DD262C" w:rsidRPr="00DD262C" w:rsidTr="00B80E44">
        <w:trPr>
          <w:trHeight w:val="301"/>
        </w:trPr>
        <w:tc>
          <w:tcPr>
            <w:tcW w:w="3868" w:type="pct"/>
            <w:tcBorders>
              <w:top w:val="single" w:sz="12" w:space="0" w:color="auto"/>
              <w:left w:val="single" w:sz="12" w:space="0" w:color="auto"/>
              <w:bottom w:val="single" w:sz="12" w:space="0" w:color="auto"/>
              <w:right w:val="single" w:sz="12" w:space="0" w:color="000000"/>
            </w:tcBorders>
            <w:shd w:val="clear" w:color="000000" w:fill="3366FF"/>
            <w:vAlign w:val="center"/>
            <w:hideMark/>
          </w:tcPr>
          <w:p w:rsidR="00DD262C" w:rsidRPr="00DD262C" w:rsidRDefault="00DD262C" w:rsidP="00B80E44">
            <w:pPr>
              <w:jc w:val="center"/>
              <w:rPr>
                <w:rFonts w:ascii="Times New Roman" w:eastAsia="Times New Roman" w:hAnsi="Times New Roman" w:cs="Times New Roman"/>
                <w:b/>
                <w:bCs/>
                <w:color w:val="000000" w:themeColor="text1"/>
                <w:lang w:val="uk-UA"/>
              </w:rPr>
            </w:pPr>
            <w:r w:rsidRPr="00DD262C">
              <w:rPr>
                <w:rFonts w:ascii="Times New Roman" w:eastAsia="Times New Roman" w:hAnsi="Times New Roman" w:cs="Times New Roman"/>
                <w:b/>
                <w:bCs/>
                <w:color w:val="000000" w:themeColor="text1"/>
                <w:lang w:val="uk-UA"/>
              </w:rPr>
              <w:t>Найменування статті</w:t>
            </w:r>
          </w:p>
        </w:tc>
        <w:tc>
          <w:tcPr>
            <w:tcW w:w="517" w:type="pct"/>
            <w:tcBorders>
              <w:top w:val="single" w:sz="12" w:space="0" w:color="auto"/>
              <w:left w:val="nil"/>
              <w:bottom w:val="single" w:sz="12" w:space="0" w:color="auto"/>
              <w:right w:val="single" w:sz="12" w:space="0" w:color="000000"/>
            </w:tcBorders>
            <w:shd w:val="clear" w:color="000000" w:fill="3366FF"/>
            <w:vAlign w:val="center"/>
            <w:hideMark/>
          </w:tcPr>
          <w:p w:rsidR="00DD262C" w:rsidRPr="00DD262C" w:rsidRDefault="00DD262C" w:rsidP="00B80E44">
            <w:pPr>
              <w:jc w:val="center"/>
              <w:rPr>
                <w:rFonts w:ascii="Times New Roman" w:eastAsia="Times New Roman" w:hAnsi="Times New Roman" w:cs="Times New Roman"/>
                <w:b/>
                <w:bCs/>
                <w:color w:val="000000" w:themeColor="text1"/>
                <w:lang w:val="uk-UA"/>
              </w:rPr>
            </w:pPr>
            <w:r w:rsidRPr="00DD262C">
              <w:rPr>
                <w:rFonts w:ascii="Times New Roman" w:eastAsia="Times New Roman" w:hAnsi="Times New Roman" w:cs="Times New Roman"/>
                <w:b/>
                <w:bCs/>
                <w:color w:val="000000" w:themeColor="text1"/>
                <w:lang w:val="uk-UA"/>
              </w:rPr>
              <w:t>2021 рік</w:t>
            </w:r>
          </w:p>
        </w:tc>
        <w:tc>
          <w:tcPr>
            <w:tcW w:w="615" w:type="pct"/>
            <w:tcBorders>
              <w:top w:val="single" w:sz="12" w:space="0" w:color="auto"/>
              <w:left w:val="nil"/>
              <w:bottom w:val="single" w:sz="12" w:space="0" w:color="auto"/>
              <w:right w:val="single" w:sz="12" w:space="0" w:color="000000"/>
            </w:tcBorders>
            <w:shd w:val="clear" w:color="000000" w:fill="3366FF"/>
            <w:vAlign w:val="center"/>
            <w:hideMark/>
          </w:tcPr>
          <w:p w:rsidR="00DD262C" w:rsidRPr="00DD262C" w:rsidRDefault="00DD262C" w:rsidP="00B80E44">
            <w:pPr>
              <w:jc w:val="center"/>
              <w:rPr>
                <w:rFonts w:ascii="Times New Roman" w:eastAsia="Times New Roman" w:hAnsi="Times New Roman" w:cs="Times New Roman"/>
                <w:b/>
                <w:bCs/>
                <w:color w:val="000000" w:themeColor="text1"/>
                <w:lang w:val="uk-UA"/>
              </w:rPr>
            </w:pPr>
            <w:r w:rsidRPr="00DD262C">
              <w:rPr>
                <w:rFonts w:ascii="Times New Roman" w:eastAsia="Times New Roman" w:hAnsi="Times New Roman" w:cs="Times New Roman"/>
                <w:b/>
                <w:bCs/>
                <w:color w:val="000000" w:themeColor="text1"/>
                <w:lang w:val="uk-UA"/>
              </w:rPr>
              <w:t>2022 рік</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Поточні зобов’язання за розрахунками: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 бюджетом</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xml:space="preserve">- </w:t>
            </w:r>
            <w:r w:rsidRPr="00DD262C">
              <w:rPr>
                <w:rFonts w:ascii="Times New Roman" w:eastAsia="Times New Roman" w:hAnsi="Times New Roman" w:cs="Times New Roman"/>
                <w:i/>
                <w:iCs/>
                <w:color w:val="000000" w:themeColor="text1"/>
                <w:lang w:val="uk-UA"/>
              </w:rPr>
              <w:t>у тому числі з податку на прибуток</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 оплата праці</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5,0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30</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зі страхування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 xml:space="preserve">- </w:t>
            </w:r>
            <w:r w:rsidRPr="00DD262C">
              <w:rPr>
                <w:rFonts w:ascii="Times New Roman" w:eastAsia="Times New Roman" w:hAnsi="Times New Roman" w:cs="Times New Roman"/>
                <w:i/>
                <w:iCs/>
                <w:color w:val="000000" w:themeColor="text1"/>
                <w:lang w:val="uk-UA"/>
              </w:rPr>
              <w:t>з учасниками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10,0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r>
      <w:tr w:rsidR="00DD262C" w:rsidRPr="00DD262C" w:rsidTr="00B80E44">
        <w:trPr>
          <w:trHeight w:val="285"/>
        </w:trPr>
        <w:tc>
          <w:tcPr>
            <w:tcW w:w="3868" w:type="pct"/>
            <w:tcBorders>
              <w:top w:val="single" w:sz="12" w:space="0" w:color="auto"/>
              <w:left w:val="single" w:sz="12" w:space="0" w:color="auto"/>
              <w:bottom w:val="nil"/>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Поточна кредиторська заборгованість за страховою діяльністю</w:t>
            </w:r>
          </w:p>
        </w:tc>
        <w:tc>
          <w:tcPr>
            <w:tcW w:w="517"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1025,0</w:t>
            </w:r>
          </w:p>
        </w:tc>
        <w:tc>
          <w:tcPr>
            <w:tcW w:w="615"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16,0</w:t>
            </w:r>
          </w:p>
        </w:tc>
      </w:tr>
      <w:tr w:rsidR="00DD262C" w:rsidRPr="00DD262C" w:rsidTr="00B80E44">
        <w:trPr>
          <w:trHeight w:val="285"/>
        </w:trPr>
        <w:tc>
          <w:tcPr>
            <w:tcW w:w="3868" w:type="pct"/>
            <w:tcBorders>
              <w:top w:val="nil"/>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у тому числі:</w:t>
            </w:r>
          </w:p>
        </w:tc>
        <w:tc>
          <w:tcPr>
            <w:tcW w:w="517" w:type="pct"/>
            <w:vMerge/>
            <w:tcBorders>
              <w:top w:val="single" w:sz="12" w:space="0" w:color="auto"/>
              <w:left w:val="single" w:sz="12" w:space="0" w:color="auto"/>
              <w:bottom w:val="single" w:sz="12" w:space="0" w:color="000000"/>
              <w:right w:val="single" w:sz="12" w:space="0" w:color="000000"/>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c>
          <w:tcPr>
            <w:tcW w:w="615" w:type="pct"/>
            <w:vMerge/>
            <w:tcBorders>
              <w:top w:val="single" w:sz="12" w:space="0" w:color="auto"/>
              <w:left w:val="single" w:sz="12" w:space="0" w:color="auto"/>
              <w:bottom w:val="single" w:sz="12" w:space="0" w:color="000000"/>
              <w:right w:val="single" w:sz="12" w:space="0" w:color="000000"/>
            </w:tcBorders>
            <w:vAlign w:val="center"/>
            <w:hideMark/>
          </w:tcPr>
          <w:p w:rsidR="00DD262C" w:rsidRPr="00DD262C" w:rsidRDefault="00DD262C" w:rsidP="00B80E44">
            <w:pPr>
              <w:rPr>
                <w:rFonts w:ascii="Times New Roman" w:eastAsia="Times New Roman" w:hAnsi="Times New Roman" w:cs="Times New Roman"/>
                <w:color w:val="000000" w:themeColor="text1"/>
                <w:lang w:val="uk-UA"/>
              </w:rPr>
            </w:pP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зі состраховиками  та страховиками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606,8</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 перестраховиками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0</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16,0</w:t>
            </w:r>
          </w:p>
        </w:tc>
      </w:tr>
      <w:tr w:rsidR="00DD262C" w:rsidRPr="00DD262C" w:rsidTr="00B80E44">
        <w:trPr>
          <w:trHeight w:val="285"/>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зі страховими агентами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418,2</w:t>
            </w:r>
          </w:p>
        </w:tc>
        <w:tc>
          <w:tcPr>
            <w:tcW w:w="615"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431,0</w:t>
            </w:r>
          </w:p>
        </w:tc>
      </w:tr>
      <w:tr w:rsidR="00DD262C" w:rsidRPr="00DD262C" w:rsidTr="00B80E44">
        <w:trPr>
          <w:trHeight w:val="285"/>
        </w:trPr>
        <w:tc>
          <w:tcPr>
            <w:tcW w:w="3868" w:type="pct"/>
            <w:tcBorders>
              <w:top w:val="single" w:sz="12" w:space="0" w:color="auto"/>
              <w:left w:val="single" w:sz="12" w:space="0" w:color="auto"/>
              <w:bottom w:val="nil"/>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Кредиторська заборгованість за товари, роботи, послуги</w:t>
            </w:r>
          </w:p>
        </w:tc>
        <w:tc>
          <w:tcPr>
            <w:tcW w:w="517" w:type="pct"/>
            <w:tcBorders>
              <w:top w:val="single" w:sz="12" w:space="0" w:color="auto"/>
              <w:left w:val="nil"/>
              <w:bottom w:val="nil"/>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828,0</w:t>
            </w:r>
          </w:p>
        </w:tc>
        <w:tc>
          <w:tcPr>
            <w:tcW w:w="615" w:type="pct"/>
            <w:tcBorders>
              <w:top w:val="single" w:sz="12" w:space="0" w:color="auto"/>
              <w:left w:val="nil"/>
              <w:bottom w:val="nil"/>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color w:val="000000" w:themeColor="text1"/>
                <w:lang w:val="uk-UA"/>
              </w:rPr>
            </w:pPr>
            <w:r w:rsidRPr="00DD262C">
              <w:rPr>
                <w:rFonts w:ascii="Times New Roman" w:eastAsia="Times New Roman" w:hAnsi="Times New Roman" w:cs="Times New Roman"/>
                <w:color w:val="000000" w:themeColor="text1"/>
                <w:lang w:val="uk-UA"/>
              </w:rPr>
              <w:t>758,0</w:t>
            </w:r>
          </w:p>
        </w:tc>
      </w:tr>
      <w:tr w:rsidR="00DD262C" w:rsidRPr="00DD262C" w:rsidTr="00B80E44">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за розрахунками з іншими кредиторами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xml:space="preserve">          49,8</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DD262C" w:rsidRPr="00DD262C" w:rsidRDefault="00DD262C" w:rsidP="00B80E44">
            <w:pPr>
              <w:jc w:val="center"/>
              <w:rPr>
                <w:rFonts w:ascii="Times New Roman" w:eastAsia="Times New Roman" w:hAnsi="Times New Roman" w:cs="Times New Roman"/>
                <w:i/>
                <w:iCs/>
                <w:color w:val="000000" w:themeColor="text1"/>
                <w:lang w:val="uk-UA"/>
              </w:rPr>
            </w:pPr>
          </w:p>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48,0</w:t>
            </w:r>
          </w:p>
        </w:tc>
      </w:tr>
      <w:tr w:rsidR="00DD262C" w:rsidRPr="00DD262C" w:rsidTr="00B80E44">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орендне зобов’язання за договорами оренди нерухомості</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153,5</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135,0</w:t>
            </w:r>
          </w:p>
        </w:tc>
      </w:tr>
      <w:tr w:rsidR="00DD262C" w:rsidRPr="00DD262C" w:rsidTr="00B80E44">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за договорами оренди обладнання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623,0</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575,0</w:t>
            </w:r>
          </w:p>
        </w:tc>
      </w:tr>
      <w:tr w:rsidR="00DD262C" w:rsidRPr="00DD262C" w:rsidTr="00B80E44">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 за основними засобами</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0</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DD262C" w:rsidRPr="00DD262C" w:rsidRDefault="00DD262C" w:rsidP="00B80E44">
            <w:pPr>
              <w:jc w:val="center"/>
              <w:rPr>
                <w:rFonts w:ascii="Times New Roman" w:eastAsia="Times New Roman" w:hAnsi="Times New Roman" w:cs="Times New Roman"/>
                <w:i/>
                <w:iCs/>
                <w:color w:val="000000" w:themeColor="text1"/>
                <w:lang w:val="uk-UA"/>
              </w:rPr>
            </w:pPr>
          </w:p>
        </w:tc>
      </w:tr>
      <w:tr w:rsidR="00DD262C" w:rsidRPr="00DD262C" w:rsidTr="00B80E44">
        <w:trPr>
          <w:trHeight w:val="182"/>
        </w:trPr>
        <w:tc>
          <w:tcPr>
            <w:tcW w:w="3868" w:type="pct"/>
            <w:tcBorders>
              <w:top w:val="single" w:sz="12" w:space="0" w:color="auto"/>
              <w:left w:val="single" w:sz="12" w:space="0" w:color="auto"/>
              <w:bottom w:val="single" w:sz="12" w:space="0" w:color="auto"/>
              <w:right w:val="single" w:sz="12" w:space="0" w:color="000000"/>
            </w:tcBorders>
            <w:shd w:val="clear" w:color="auto" w:fill="auto"/>
            <w:noWrap/>
            <w:vAlign w:val="center"/>
            <w:hideMark/>
          </w:tcPr>
          <w:p w:rsidR="00DD262C" w:rsidRPr="00DD262C" w:rsidRDefault="00DD262C" w:rsidP="00B80E44">
            <w:pPr>
              <w:jc w:val="both"/>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Інші поточні зобов’язання</w:t>
            </w:r>
          </w:p>
        </w:tc>
        <w:tc>
          <w:tcPr>
            <w:tcW w:w="517" w:type="pct"/>
            <w:tcBorders>
              <w:top w:val="single" w:sz="12" w:space="0" w:color="auto"/>
              <w:left w:val="nil"/>
              <w:bottom w:val="single" w:sz="12" w:space="0" w:color="auto"/>
              <w:right w:val="single" w:sz="12" w:space="0" w:color="000000"/>
            </w:tcBorders>
            <w:shd w:val="clear" w:color="auto" w:fill="auto"/>
            <w:vAlign w:val="center"/>
            <w:hideMark/>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1</w:t>
            </w:r>
          </w:p>
        </w:tc>
        <w:tc>
          <w:tcPr>
            <w:tcW w:w="615" w:type="pct"/>
            <w:tcBorders>
              <w:top w:val="single" w:sz="12" w:space="0" w:color="auto"/>
              <w:left w:val="nil"/>
              <w:bottom w:val="single" w:sz="12" w:space="0" w:color="auto"/>
              <w:right w:val="single" w:sz="12" w:space="0" w:color="000000"/>
            </w:tcBorders>
            <w:shd w:val="clear" w:color="auto" w:fill="auto"/>
            <w:vAlign w:val="center"/>
          </w:tcPr>
          <w:p w:rsidR="00DD262C" w:rsidRPr="00DD262C" w:rsidRDefault="00DD262C" w:rsidP="00B80E44">
            <w:pPr>
              <w:jc w:val="center"/>
              <w:rPr>
                <w:rFonts w:ascii="Times New Roman" w:eastAsia="Times New Roman" w:hAnsi="Times New Roman" w:cs="Times New Roman"/>
                <w:i/>
                <w:iCs/>
                <w:color w:val="000000" w:themeColor="text1"/>
                <w:lang w:val="uk-UA"/>
              </w:rPr>
            </w:pPr>
            <w:r w:rsidRPr="00DD262C">
              <w:rPr>
                <w:rFonts w:ascii="Times New Roman" w:eastAsia="Times New Roman" w:hAnsi="Times New Roman" w:cs="Times New Roman"/>
                <w:i/>
                <w:iCs/>
                <w:color w:val="000000" w:themeColor="text1"/>
                <w:lang w:val="uk-UA"/>
              </w:rPr>
              <w:t>0</w:t>
            </w:r>
          </w:p>
        </w:tc>
      </w:tr>
    </w:tbl>
    <w:p w:rsidR="00DD262C" w:rsidRPr="00DD262C" w:rsidRDefault="00DD262C" w:rsidP="00DD262C">
      <w:pPr>
        <w:pStyle w:val="a3"/>
        <w:ind w:right="140"/>
        <w:rPr>
          <w:b/>
          <w:i/>
        </w:rPr>
      </w:pPr>
    </w:p>
    <w:bookmarkEnd w:id="18"/>
    <w:bookmarkEnd w:id="19"/>
    <w:bookmarkEnd w:id="20"/>
    <w:p w:rsidR="00DD262C" w:rsidRPr="00DD262C" w:rsidRDefault="00DD262C" w:rsidP="00DD262C">
      <w:pPr>
        <w:pStyle w:val="a3"/>
        <w:ind w:right="0" w:firstLine="540"/>
        <w:rPr>
          <w:b/>
          <w:i/>
        </w:rPr>
      </w:pPr>
    </w:p>
    <w:p w:rsidR="00DD262C" w:rsidRPr="00DD262C" w:rsidRDefault="00DD262C" w:rsidP="00DD262C">
      <w:pPr>
        <w:pStyle w:val="a3"/>
        <w:ind w:right="0" w:firstLine="540"/>
        <w:rPr>
          <w:b/>
          <w:i/>
        </w:rPr>
      </w:pPr>
      <w:r w:rsidRPr="00DD262C">
        <w:rPr>
          <w:b/>
          <w:i/>
        </w:rPr>
        <w:t xml:space="preserve">6.11. Тест на адекватність зобов’язань </w:t>
      </w:r>
    </w:p>
    <w:p w:rsidR="00DD262C" w:rsidRPr="00DD262C" w:rsidRDefault="00DD262C" w:rsidP="00DD262C">
      <w:pPr>
        <w:pStyle w:val="a3"/>
        <w:ind w:right="0" w:firstLine="540"/>
        <w:rPr>
          <w:b/>
          <w:i/>
        </w:rPr>
      </w:pPr>
    </w:p>
    <w:p w:rsidR="00DD262C" w:rsidRPr="00DD262C" w:rsidRDefault="00DD262C" w:rsidP="00DD262C">
      <w:pPr>
        <w:pStyle w:val="bodytext"/>
        <w:spacing w:before="0" w:beforeAutospacing="0" w:after="0" w:afterAutospacing="0"/>
        <w:ind w:firstLine="540"/>
        <w:jc w:val="both"/>
        <w:rPr>
          <w:lang w:val="uk-UA"/>
        </w:rPr>
      </w:pPr>
      <w:r w:rsidRPr="00DD262C">
        <w:rPr>
          <w:lang w:val="uk-UA"/>
        </w:rPr>
        <w:t xml:space="preserve">Відповідно до вимог МСФЗ оцінці адекватності страхових зобов’язань підлягали резерв незароблених премій, резерв заявлених, але не виплачених збитків, резерв збитків, які виникли, але не заявлені. </w:t>
      </w:r>
    </w:p>
    <w:p w:rsidR="00DD262C" w:rsidRPr="00DD262C" w:rsidRDefault="00DD262C" w:rsidP="00DD262C">
      <w:pPr>
        <w:pStyle w:val="bodytext"/>
        <w:spacing w:before="0" w:beforeAutospacing="0" w:after="0" w:afterAutospacing="0"/>
        <w:ind w:firstLine="540"/>
        <w:jc w:val="both"/>
        <w:rPr>
          <w:lang w:val="uk-UA"/>
        </w:rPr>
      </w:pPr>
      <w:r w:rsidRPr="00DD262C">
        <w:rPr>
          <w:lang w:val="uk-UA"/>
        </w:rPr>
        <w:t>Результат тесту адекватності  сформованих резервів  незароблених премій засвідчує, що сформовані  резерви цілком достатні  для покриття збитків за договорами, що діють на 31.12.2022 року.</w:t>
      </w:r>
    </w:p>
    <w:p w:rsidR="00DD262C" w:rsidRPr="00DD262C" w:rsidRDefault="00DD262C" w:rsidP="00DD262C">
      <w:pPr>
        <w:rPr>
          <w:rFonts w:ascii="Times New Roman" w:eastAsia="Corbel" w:hAnsi="Times New Roman" w:cs="Times New Roman"/>
          <w:lang w:val="uk-UA"/>
        </w:rPr>
      </w:pPr>
      <w:r w:rsidRPr="00DD262C">
        <w:rPr>
          <w:rFonts w:ascii="Times New Roman" w:eastAsia="Corbel" w:hAnsi="Times New Roman" w:cs="Times New Roman"/>
          <w:lang w:val="uk-UA"/>
        </w:rPr>
        <w:t xml:space="preserve">       Розмір сформованих страхових резервів та розмір страхових резервів з урахуванням тесту адекватності зобов’язань наведено у наступній таблиці </w:t>
      </w:r>
      <w:r w:rsidRPr="00DD262C">
        <w:rPr>
          <w:rFonts w:ascii="Times New Roman" w:eastAsia="Corbel" w:hAnsi="Times New Roman" w:cs="Times New Roman"/>
          <w:szCs w:val="48"/>
          <w:lang w:val="uk-UA"/>
        </w:rPr>
        <w:t>.</w:t>
      </w:r>
    </w:p>
    <w:p w:rsidR="00DD262C" w:rsidRPr="00DD262C" w:rsidRDefault="00DD262C" w:rsidP="00DD262C">
      <w:pPr>
        <w:ind w:firstLine="567"/>
        <w:jc w:val="right"/>
        <w:rPr>
          <w:rFonts w:ascii="Times New Roman" w:eastAsia="Corbel" w:hAnsi="Times New Roman" w:cs="Times New Roman"/>
          <w:szCs w:val="18"/>
          <w:lang w:val="uk-UA"/>
        </w:rPr>
      </w:pPr>
      <w:r w:rsidRPr="00DD262C">
        <w:rPr>
          <w:rFonts w:ascii="Times New Roman" w:hAnsi="Times New Roman" w:cs="Times New Roman"/>
          <w:szCs w:val="18"/>
          <w:lang w:val="uk-UA"/>
        </w:rPr>
        <w:t>Таб.6.11 (тис. грн.)</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8"/>
        <w:gridCol w:w="3539"/>
        <w:gridCol w:w="2644"/>
        <w:gridCol w:w="2642"/>
      </w:tblGrid>
      <w:tr w:rsidR="00DD262C" w:rsidRPr="00DD262C" w:rsidTr="00B80E44">
        <w:tc>
          <w:tcPr>
            <w:tcW w:w="958"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w:t>
            </w:r>
            <w:r w:rsidRPr="00DD262C">
              <w:rPr>
                <w:rFonts w:ascii="Times New Roman" w:hAnsi="Times New Roman" w:cs="Times New Roman"/>
                <w:b/>
                <w:color w:val="FFFFFF"/>
                <w:lang w:val="uk-UA"/>
              </w:rPr>
              <w:softHyphen/>
              <w:t>док</w:t>
            </w:r>
          </w:p>
        </w:tc>
        <w:tc>
          <w:tcPr>
            <w:tcW w:w="3539"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Назва резерву</w:t>
            </w:r>
          </w:p>
        </w:tc>
        <w:tc>
          <w:tcPr>
            <w:tcW w:w="2644"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 xml:space="preserve">Сформовано Товариством станом на 31.12.2022 року </w:t>
            </w:r>
          </w:p>
        </w:tc>
        <w:tc>
          <w:tcPr>
            <w:tcW w:w="2642"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Розмір з урахуванням тесту адекватності зобов’язань станом на 30.09.2022 року</w:t>
            </w:r>
          </w:p>
        </w:tc>
      </w:tr>
      <w:tr w:rsidR="00DD262C" w:rsidRPr="00DD262C" w:rsidTr="00B80E44">
        <w:tc>
          <w:tcPr>
            <w:tcW w:w="958"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3539" w:type="dxa"/>
            <w:shd w:val="clear" w:color="auto" w:fill="0070C0"/>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2644" w:type="dxa"/>
            <w:shd w:val="clear" w:color="auto" w:fill="0070C0"/>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2642" w:type="dxa"/>
            <w:shd w:val="clear" w:color="auto" w:fill="0070C0"/>
            <w:vAlign w:val="center"/>
          </w:tcPr>
          <w:p w:rsidR="00DD262C" w:rsidRPr="00DD262C" w:rsidRDefault="00DD262C" w:rsidP="00B80E44">
            <w:pPr>
              <w:tabs>
                <w:tab w:val="left" w:pos="172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c>
          <w:tcPr>
            <w:tcW w:w="958" w:type="dxa"/>
            <w:shd w:val="clear" w:color="auto" w:fill="auto"/>
          </w:tcPr>
          <w:p w:rsidR="00DD262C" w:rsidRPr="00DD262C" w:rsidRDefault="00DD262C" w:rsidP="00B80E44">
            <w:pPr>
              <w:jc w:val="both"/>
              <w:rPr>
                <w:rFonts w:ascii="Times New Roman" w:hAnsi="Times New Roman" w:cs="Times New Roman"/>
                <w:lang w:val="uk-UA"/>
              </w:rPr>
            </w:pPr>
          </w:p>
        </w:tc>
        <w:tc>
          <w:tcPr>
            <w:tcW w:w="3539" w:type="dxa"/>
            <w:shd w:val="clear" w:color="auto" w:fill="auto"/>
            <w:vAlign w:val="center"/>
          </w:tcPr>
          <w:p w:rsidR="00DD262C" w:rsidRPr="00DD262C" w:rsidRDefault="00DD262C" w:rsidP="00B80E44">
            <w:pPr>
              <w:jc w:val="both"/>
              <w:rPr>
                <w:rFonts w:ascii="Times New Roman" w:hAnsi="Times New Roman" w:cs="Times New Roman"/>
                <w:lang w:val="uk-UA"/>
              </w:rPr>
            </w:pPr>
            <w:r w:rsidRPr="00DD262C">
              <w:rPr>
                <w:rFonts w:ascii="Times New Roman" w:hAnsi="Times New Roman" w:cs="Times New Roman"/>
                <w:lang w:val="uk-UA"/>
              </w:rPr>
              <w:t>Резерв незароблених премій</w:t>
            </w:r>
          </w:p>
        </w:tc>
        <w:tc>
          <w:tcPr>
            <w:tcW w:w="2644"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1300,0</w:t>
            </w:r>
          </w:p>
        </w:tc>
        <w:tc>
          <w:tcPr>
            <w:tcW w:w="2642"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1648,1</w:t>
            </w:r>
          </w:p>
        </w:tc>
      </w:tr>
      <w:tr w:rsidR="00DD262C" w:rsidRPr="00DD262C" w:rsidTr="00B80E44">
        <w:tc>
          <w:tcPr>
            <w:tcW w:w="958" w:type="dxa"/>
            <w:shd w:val="clear" w:color="auto" w:fill="auto"/>
          </w:tcPr>
          <w:p w:rsidR="00DD262C" w:rsidRPr="00DD262C" w:rsidRDefault="00DD262C" w:rsidP="00B80E44">
            <w:pPr>
              <w:jc w:val="both"/>
              <w:rPr>
                <w:rFonts w:ascii="Times New Roman" w:hAnsi="Times New Roman" w:cs="Times New Roman"/>
                <w:lang w:val="uk-UA"/>
              </w:rPr>
            </w:pPr>
            <w:r w:rsidRPr="00DD262C">
              <w:rPr>
                <w:rFonts w:ascii="Times New Roman" w:hAnsi="Times New Roman" w:cs="Times New Roman"/>
                <w:lang w:val="uk-UA"/>
              </w:rPr>
              <w:tab/>
            </w:r>
          </w:p>
        </w:tc>
        <w:tc>
          <w:tcPr>
            <w:tcW w:w="3539" w:type="dxa"/>
            <w:shd w:val="clear" w:color="auto" w:fill="auto"/>
            <w:vAlign w:val="center"/>
          </w:tcPr>
          <w:p w:rsidR="00DD262C" w:rsidRPr="00DD262C" w:rsidRDefault="00DD262C" w:rsidP="00B80E44">
            <w:pPr>
              <w:jc w:val="both"/>
              <w:rPr>
                <w:rFonts w:ascii="Times New Roman" w:hAnsi="Times New Roman" w:cs="Times New Roman"/>
                <w:lang w:val="uk-UA"/>
              </w:rPr>
            </w:pPr>
            <w:r w:rsidRPr="00DD262C">
              <w:rPr>
                <w:rFonts w:ascii="Times New Roman" w:hAnsi="Times New Roman" w:cs="Times New Roman"/>
                <w:lang w:val="uk-UA"/>
              </w:rPr>
              <w:t>Резерв збитків, що заявлені, але не виплачені</w:t>
            </w:r>
          </w:p>
        </w:tc>
        <w:tc>
          <w:tcPr>
            <w:tcW w:w="2644"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w:t>
            </w:r>
          </w:p>
        </w:tc>
        <w:tc>
          <w:tcPr>
            <w:tcW w:w="2642"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41,2</w:t>
            </w:r>
          </w:p>
        </w:tc>
      </w:tr>
      <w:tr w:rsidR="00DD262C" w:rsidRPr="00DD262C" w:rsidTr="00B80E44">
        <w:tc>
          <w:tcPr>
            <w:tcW w:w="958" w:type="dxa"/>
            <w:shd w:val="clear" w:color="auto" w:fill="auto"/>
          </w:tcPr>
          <w:p w:rsidR="00DD262C" w:rsidRPr="00DD262C" w:rsidRDefault="00DD262C" w:rsidP="00B80E44">
            <w:pPr>
              <w:jc w:val="both"/>
              <w:rPr>
                <w:rFonts w:ascii="Times New Roman" w:hAnsi="Times New Roman" w:cs="Times New Roman"/>
                <w:lang w:val="uk-UA"/>
              </w:rPr>
            </w:pPr>
          </w:p>
        </w:tc>
        <w:tc>
          <w:tcPr>
            <w:tcW w:w="3539" w:type="dxa"/>
            <w:shd w:val="clear" w:color="auto" w:fill="auto"/>
            <w:vAlign w:val="center"/>
          </w:tcPr>
          <w:p w:rsidR="00DD262C" w:rsidRPr="00DD262C" w:rsidRDefault="00DD262C" w:rsidP="00B80E44">
            <w:pPr>
              <w:jc w:val="both"/>
              <w:rPr>
                <w:rFonts w:ascii="Times New Roman" w:hAnsi="Times New Roman" w:cs="Times New Roman"/>
                <w:lang w:val="uk-UA"/>
              </w:rPr>
            </w:pPr>
            <w:r w:rsidRPr="00DD262C">
              <w:rPr>
                <w:rFonts w:ascii="Times New Roman" w:hAnsi="Times New Roman" w:cs="Times New Roman"/>
                <w:lang w:val="uk-UA"/>
              </w:rPr>
              <w:t>Всього</w:t>
            </w:r>
          </w:p>
        </w:tc>
        <w:tc>
          <w:tcPr>
            <w:tcW w:w="2644"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1300,0</w:t>
            </w:r>
          </w:p>
        </w:tc>
        <w:tc>
          <w:tcPr>
            <w:tcW w:w="2642" w:type="dxa"/>
            <w:shd w:val="clear" w:color="auto" w:fill="auto"/>
            <w:vAlign w:val="center"/>
          </w:tcPr>
          <w:p w:rsidR="00DD262C" w:rsidRPr="00DD262C" w:rsidRDefault="00DD262C" w:rsidP="00B80E44">
            <w:pPr>
              <w:jc w:val="center"/>
              <w:rPr>
                <w:rFonts w:ascii="Times New Roman" w:hAnsi="Times New Roman" w:cs="Times New Roman"/>
                <w:lang w:val="uk-UA"/>
              </w:rPr>
            </w:pPr>
            <w:r w:rsidRPr="00DD262C">
              <w:rPr>
                <w:rFonts w:ascii="Times New Roman" w:hAnsi="Times New Roman" w:cs="Times New Roman"/>
                <w:lang w:val="uk-UA"/>
              </w:rPr>
              <w:t>1689,3</w:t>
            </w:r>
          </w:p>
        </w:tc>
      </w:tr>
    </w:tbl>
    <w:p w:rsidR="00DD262C" w:rsidRPr="00DD262C" w:rsidRDefault="00DD262C" w:rsidP="00DD262C">
      <w:pPr>
        <w:spacing w:before="120"/>
        <w:ind w:firstLine="709"/>
        <w:jc w:val="both"/>
        <w:rPr>
          <w:rFonts w:ascii="Times New Roman" w:hAnsi="Times New Roman" w:cs="Times New Roman"/>
          <w:lang w:val="uk-UA"/>
        </w:rPr>
      </w:pPr>
      <w:r w:rsidRPr="00DD262C">
        <w:rPr>
          <w:rFonts w:ascii="Times New Roman" w:hAnsi="Times New Roman" w:cs="Times New Roman"/>
          <w:lang w:val="uk-UA"/>
        </w:rPr>
        <w:t xml:space="preserve">Відповідно до Законодавства України на дату 31.12 .2022р.  зобов’язання були перевірені на адекватність про що був зроблений Актурний звіт. </w:t>
      </w:r>
    </w:p>
    <w:p w:rsidR="00DD262C" w:rsidRPr="00DD262C" w:rsidRDefault="00DD262C" w:rsidP="00DD262C">
      <w:pPr>
        <w:spacing w:before="120"/>
        <w:ind w:firstLine="709"/>
        <w:jc w:val="both"/>
        <w:rPr>
          <w:rFonts w:ascii="Times New Roman" w:hAnsi="Times New Roman" w:cs="Times New Roman"/>
          <w:lang w:val="uk-UA"/>
        </w:rPr>
      </w:pPr>
      <w:r w:rsidRPr="00DD262C">
        <w:rPr>
          <w:rFonts w:ascii="Times New Roman" w:hAnsi="Times New Roman" w:cs="Times New Roman"/>
          <w:lang w:val="uk-UA"/>
        </w:rPr>
        <w:t xml:space="preserve">Актуарій </w:t>
      </w:r>
      <w:r w:rsidRPr="00DD262C">
        <w:rPr>
          <w:rFonts w:ascii="Times New Roman" w:hAnsi="Times New Roman" w:cs="Times New Roman"/>
          <w:i/>
          <w:lang w:val="uk-UA"/>
        </w:rPr>
        <w:t>Борець Владислав Анатолійович</w:t>
      </w:r>
      <w:r w:rsidRPr="00DD262C">
        <w:rPr>
          <w:rFonts w:ascii="Times New Roman" w:hAnsi="Times New Roman" w:cs="Times New Roman"/>
          <w:lang w:val="uk-UA"/>
        </w:rPr>
        <w:t xml:space="preserve"> - Свідоцтво  про відповідність кваліфікаційним вимогам до осіб, які можуть займатися актуарними розрахунками №01-32 від 15.05.2018р. </w:t>
      </w:r>
    </w:p>
    <w:p w:rsidR="00DD262C" w:rsidRPr="00DD262C" w:rsidRDefault="00DD262C" w:rsidP="00DD262C">
      <w:pPr>
        <w:spacing w:before="120"/>
        <w:ind w:firstLine="709"/>
        <w:jc w:val="both"/>
        <w:rPr>
          <w:rFonts w:ascii="Times New Roman" w:hAnsi="Times New Roman" w:cs="Times New Roman"/>
          <w:lang w:val="uk-UA"/>
        </w:rPr>
      </w:pPr>
      <w:r w:rsidRPr="00DD262C">
        <w:rPr>
          <w:rFonts w:ascii="Times New Roman" w:hAnsi="Times New Roman" w:cs="Times New Roman"/>
          <w:lang w:val="uk-UA"/>
        </w:rPr>
        <w:t xml:space="preserve">Згідно Звіту Активи Страховика є достатніми для виконання поточних та потенційних зобов’язань перед страхувальниками як в довгостроковому, так й в короткостроковому періоді. </w:t>
      </w:r>
    </w:p>
    <w:p w:rsidR="00DD262C" w:rsidRPr="00DD262C" w:rsidRDefault="00DD262C" w:rsidP="00DD262C">
      <w:pPr>
        <w:pStyle w:val="1"/>
        <w:numPr>
          <w:ilvl w:val="0"/>
          <w:numId w:val="0"/>
        </w:numPr>
        <w:tabs>
          <w:tab w:val="num" w:pos="3627"/>
        </w:tabs>
        <w:rPr>
          <w:i/>
          <w:sz w:val="24"/>
        </w:rPr>
      </w:pPr>
      <w:r w:rsidRPr="00DD262C">
        <w:rPr>
          <w:b w:val="0"/>
          <w:sz w:val="24"/>
        </w:rPr>
        <w:t xml:space="preserve">   </w:t>
      </w:r>
      <w:r w:rsidRPr="00DD262C">
        <w:rPr>
          <w:i/>
          <w:sz w:val="24"/>
        </w:rPr>
        <w:t xml:space="preserve">6.12.  Потенційні зобов’язання Страхової  компанії </w:t>
      </w:r>
    </w:p>
    <w:p w:rsidR="00DD262C" w:rsidRPr="00DD262C" w:rsidRDefault="00DD262C" w:rsidP="00DD262C">
      <w:pPr>
        <w:pStyle w:val="a3"/>
        <w:ind w:right="0" w:firstLine="540"/>
        <w:rPr>
          <w:b/>
          <w:i/>
        </w:rPr>
      </w:pPr>
      <w:r w:rsidRPr="00DD262C">
        <w:rPr>
          <w:b/>
          <w:i/>
        </w:rPr>
        <w:t>а) Розгляд справ у суді.</w:t>
      </w:r>
    </w:p>
    <w:p w:rsidR="00DD262C" w:rsidRPr="00DD262C" w:rsidRDefault="00DD262C" w:rsidP="00DD262C">
      <w:pPr>
        <w:pStyle w:val="a3"/>
        <w:ind w:right="0" w:firstLine="540"/>
      </w:pPr>
      <w:r w:rsidRPr="00DD262C">
        <w:t xml:space="preserve">Станом на кінець звітного періоду страхова компанія, головним чином, виступає у судових процесах у якості позивача до третіх осіб по регресивним вимогам.  Розгляд даної категорії справ може передбачати лише отримання  Страховою компанією доходів у майбутньому в разі винесення позитивного рішення суду та наявності коштів (майна) боржника для погашення суми боргу в межах процедури виконавчого провадження,  потенційних зобов’язань за даною категорією справ немає. </w:t>
      </w:r>
    </w:p>
    <w:p w:rsidR="00DD262C" w:rsidRPr="00DD262C" w:rsidRDefault="00DD262C" w:rsidP="00DD262C">
      <w:pPr>
        <w:pStyle w:val="a3"/>
        <w:ind w:right="0" w:firstLine="540"/>
      </w:pPr>
      <w:r w:rsidRPr="00DD262C">
        <w:t>Тим не менш час від часу та в зв’язку із звичайним веденням бізнесу  страхова компанія може бути притягнута до суду в якості відповідача. Відповідно до власних оцінок та внутрішніх професійних консультацій керівництво Страхової компанії вважає, що не має підстав очікувати суттєвих збитків в зв’язку із такими справами та відповідно відсутня необхідність в формуванні резервів у фінансовій звітності.</w:t>
      </w:r>
    </w:p>
    <w:p w:rsidR="00DD262C" w:rsidRPr="00DD262C" w:rsidRDefault="00DD262C" w:rsidP="00DD262C">
      <w:pPr>
        <w:pStyle w:val="a3"/>
        <w:ind w:right="0" w:firstLine="540"/>
      </w:pPr>
      <w:r w:rsidRPr="00DD262C">
        <w:rPr>
          <w:b/>
          <w:i/>
        </w:rPr>
        <w:t>б) Можливість виникнення потенційних податкових зобов’язань.</w:t>
      </w:r>
    </w:p>
    <w:p w:rsidR="00DD262C" w:rsidRPr="00DD262C" w:rsidRDefault="00DD262C" w:rsidP="00DD262C">
      <w:pPr>
        <w:pStyle w:val="a3"/>
        <w:ind w:firstLine="540"/>
      </w:pPr>
      <w:r w:rsidRPr="00DD262C">
        <w:t>Податкові періоди залишаються відкритими для перевірки контролюючими органами щодо нарахованих податків протягом трьох років з дати узгодження податкового зобов’язання (граничного терміну для подання податкової декларації або подання уточнюючої декларації). За певних обставин перевірки можуть здійснюватися  і щодо більших періодів,</w:t>
      </w:r>
    </w:p>
    <w:p w:rsidR="00DD262C" w:rsidRPr="00DD262C" w:rsidRDefault="00DD262C" w:rsidP="00DD262C">
      <w:pPr>
        <w:pStyle w:val="a3"/>
        <w:ind w:right="0" w:firstLine="540"/>
        <w:rPr>
          <w:b/>
          <w:i/>
          <w:kern w:val="28"/>
        </w:rPr>
      </w:pPr>
      <w:r w:rsidRPr="00DD262C">
        <w:t>Станом на 31 грудня 2022 року не існує інших непередбачених зобов’язань, що пов’язані з виникненням податкових зобов’язань. Товариство своєчасно складає і подає податкову звітність та сплачує відповідні податки та збори до бюджету та позабюджетних фондів.</w:t>
      </w:r>
      <w:r w:rsidRPr="00DD262C">
        <w:cr/>
        <w:t xml:space="preserve">          </w:t>
      </w:r>
      <w:bookmarkStart w:id="21" w:name="_Toc320725140"/>
      <w:bookmarkStart w:id="22" w:name="_Ref113270166"/>
      <w:bookmarkStart w:id="23" w:name="_Ref113248513"/>
      <w:bookmarkStart w:id="24" w:name="_Toc445697448"/>
      <w:bookmarkStart w:id="25" w:name="_Toc442612650"/>
      <w:bookmarkStart w:id="26" w:name="_Toc414363613"/>
      <w:r w:rsidRPr="00DD262C">
        <w:rPr>
          <w:b/>
          <w:i/>
          <w:kern w:val="28"/>
        </w:rPr>
        <w:t>в) Дотримання особливих вимог.</w:t>
      </w:r>
    </w:p>
    <w:p w:rsidR="00DD262C" w:rsidRPr="00DD262C" w:rsidRDefault="00DD262C" w:rsidP="00DD262C">
      <w:pPr>
        <w:pStyle w:val="a3"/>
        <w:ind w:firstLine="539"/>
        <w:rPr>
          <w:kern w:val="28"/>
        </w:rPr>
      </w:pPr>
      <w:r w:rsidRPr="00DD262C">
        <w:rPr>
          <w:kern w:val="28"/>
        </w:rPr>
        <w:t xml:space="preserve">Договори, укладені Товариством, не містять особливих вимог щодо дотримання певних умов. </w:t>
      </w:r>
    </w:p>
    <w:p w:rsidR="00DD262C" w:rsidRPr="00DD262C" w:rsidRDefault="00DD262C" w:rsidP="00DD262C">
      <w:pPr>
        <w:pStyle w:val="a3"/>
        <w:ind w:firstLine="539"/>
        <w:rPr>
          <w:i/>
        </w:rPr>
      </w:pPr>
    </w:p>
    <w:p w:rsidR="00DD262C" w:rsidRPr="00DD262C" w:rsidRDefault="00DD262C" w:rsidP="00DD262C">
      <w:pPr>
        <w:ind w:left="402"/>
        <w:outlineLvl w:val="0"/>
        <w:rPr>
          <w:rFonts w:ascii="Times New Roman" w:eastAsia="Times New Roman" w:hAnsi="Times New Roman" w:cs="Times New Roman"/>
          <w:b/>
          <w:i/>
          <w:sz w:val="20"/>
          <w:szCs w:val="20"/>
          <w:lang w:val="uk-UA"/>
        </w:rPr>
      </w:pPr>
      <w:r w:rsidRPr="00DD262C">
        <w:rPr>
          <w:rFonts w:ascii="Times New Roman" w:hAnsi="Times New Roman" w:cs="Times New Roman"/>
          <w:i/>
          <w:lang w:val="uk-UA"/>
        </w:rPr>
        <w:t xml:space="preserve"> </w:t>
      </w:r>
      <w:r w:rsidRPr="00DD262C">
        <w:rPr>
          <w:rFonts w:ascii="Times New Roman" w:hAnsi="Times New Roman" w:cs="Times New Roman"/>
          <w:b/>
          <w:i/>
          <w:lang w:val="uk-UA"/>
        </w:rPr>
        <w:t xml:space="preserve">6.13. </w:t>
      </w:r>
      <w:bookmarkStart w:id="27" w:name="_Toc475979759"/>
      <w:r w:rsidRPr="00DD262C">
        <w:rPr>
          <w:rFonts w:ascii="Times New Roman" w:hAnsi="Times New Roman" w:cs="Times New Roman"/>
          <w:b/>
          <w:i/>
          <w:lang w:val="uk-UA"/>
        </w:rPr>
        <w:t xml:space="preserve">Доход </w:t>
      </w:r>
      <w:r w:rsidRPr="00DD262C">
        <w:rPr>
          <w:rFonts w:ascii="Times New Roman" w:eastAsia="Times New Roman" w:hAnsi="Times New Roman" w:cs="Times New Roman"/>
          <w:b/>
          <w:i/>
          <w:sz w:val="20"/>
          <w:szCs w:val="20"/>
          <w:lang w:val="uk-UA"/>
        </w:rPr>
        <w:t xml:space="preserve"> від страхових премій</w:t>
      </w:r>
      <w:bookmarkEnd w:id="27"/>
    </w:p>
    <w:p w:rsidR="00DD262C" w:rsidRPr="00DD262C" w:rsidRDefault="00DD262C" w:rsidP="00DD262C">
      <w:pPr>
        <w:pStyle w:val="a3"/>
        <w:ind w:firstLine="539"/>
        <w:jc w:val="left"/>
        <w:rPr>
          <w:b/>
          <w:i/>
        </w:rPr>
      </w:pPr>
      <w:r w:rsidRPr="00DD262C">
        <w:rPr>
          <w:i/>
          <w:sz w:val="18"/>
          <w:szCs w:val="18"/>
        </w:rPr>
        <w:t xml:space="preserve">                                                                                        </w:t>
      </w:r>
      <w:r w:rsidRPr="00DD262C">
        <w:rPr>
          <w:sz w:val="18"/>
          <w:szCs w:val="18"/>
        </w:rPr>
        <w:t>Таб.6.13 тис.грн.</w:t>
      </w:r>
    </w:p>
    <w:tbl>
      <w:tblPr>
        <w:tblW w:w="6487" w:type="dxa"/>
        <w:tblInd w:w="-118" w:type="dxa"/>
        <w:tblLook w:val="04A0" w:firstRow="1" w:lastRow="0" w:firstColumn="1" w:lastColumn="0" w:noHBand="0" w:noVBand="1"/>
      </w:tblPr>
      <w:tblGrid>
        <w:gridCol w:w="2838"/>
        <w:gridCol w:w="93"/>
        <w:gridCol w:w="1602"/>
        <w:gridCol w:w="1954"/>
      </w:tblGrid>
      <w:tr w:rsidR="00DD262C" w:rsidRPr="00DD262C" w:rsidTr="00B80E44">
        <w:trPr>
          <w:trHeight w:val="457"/>
        </w:trPr>
        <w:tc>
          <w:tcPr>
            <w:tcW w:w="2931" w:type="dxa"/>
            <w:gridSpan w:val="2"/>
            <w:tcBorders>
              <w:top w:val="single" w:sz="8" w:space="0" w:color="auto"/>
              <w:left w:val="single" w:sz="8" w:space="0" w:color="auto"/>
              <w:bottom w:val="single" w:sz="8" w:space="0" w:color="auto"/>
              <w:right w:val="single" w:sz="4" w:space="0" w:color="auto"/>
            </w:tcBorders>
            <w:shd w:val="clear" w:color="auto" w:fill="8496B0" w:themeFill="text2" w:themeFillTint="99"/>
            <w:noWrap/>
            <w:hideMark/>
          </w:tcPr>
          <w:p w:rsidR="00DD262C" w:rsidRPr="00DD262C" w:rsidRDefault="00DD262C" w:rsidP="00B80E44">
            <w:pPr>
              <w:jc w:val="center"/>
              <w:rPr>
                <w:rFonts w:ascii="Times New Roman" w:eastAsia="Times New Roman" w:hAnsi="Times New Roman" w:cs="Times New Roman"/>
                <w:b/>
                <w:bCs/>
                <w:i/>
                <w:iCs/>
                <w:sz w:val="20"/>
                <w:szCs w:val="20"/>
                <w:lang w:val="uk-UA"/>
              </w:rPr>
            </w:pPr>
            <w:r w:rsidRPr="00DD262C">
              <w:rPr>
                <w:rFonts w:ascii="Times New Roman" w:hAnsi="Times New Roman" w:cs="Times New Roman"/>
                <w:b/>
                <w:sz w:val="20"/>
                <w:szCs w:val="20"/>
                <w:lang w:val="uk-UA"/>
              </w:rPr>
              <w:t>Найменування статті</w:t>
            </w:r>
          </w:p>
        </w:tc>
        <w:tc>
          <w:tcPr>
            <w:tcW w:w="1602" w:type="dxa"/>
            <w:tcBorders>
              <w:top w:val="single" w:sz="4" w:space="0" w:color="auto"/>
              <w:left w:val="nil"/>
              <w:bottom w:val="single" w:sz="8" w:space="0" w:color="auto"/>
              <w:right w:val="nil"/>
            </w:tcBorders>
            <w:shd w:val="clear" w:color="auto" w:fill="8496B0" w:themeFill="text2" w:themeFillTint="99"/>
            <w:noWrap/>
            <w:hideMark/>
          </w:tcPr>
          <w:p w:rsidR="00DD262C" w:rsidRPr="00DD262C" w:rsidRDefault="00DD262C" w:rsidP="00B80E44">
            <w:pPr>
              <w:jc w:val="center"/>
              <w:rPr>
                <w:rFonts w:ascii="Times New Roman" w:eastAsia="Times New Roman" w:hAnsi="Times New Roman" w:cs="Times New Roman"/>
                <w:b/>
                <w:bCs/>
                <w:sz w:val="20"/>
                <w:szCs w:val="20"/>
                <w:lang w:val="uk-UA"/>
              </w:rPr>
            </w:pPr>
            <w:r w:rsidRPr="00DD262C">
              <w:rPr>
                <w:rFonts w:ascii="Times New Roman" w:hAnsi="Times New Roman" w:cs="Times New Roman"/>
                <w:b/>
                <w:sz w:val="20"/>
                <w:szCs w:val="20"/>
                <w:lang w:val="uk-UA"/>
              </w:rPr>
              <w:t>2022рік</w:t>
            </w:r>
          </w:p>
        </w:tc>
        <w:tc>
          <w:tcPr>
            <w:tcW w:w="1954" w:type="dxa"/>
            <w:tcBorders>
              <w:top w:val="single" w:sz="4" w:space="0" w:color="auto"/>
              <w:left w:val="single" w:sz="4" w:space="0" w:color="auto"/>
              <w:bottom w:val="single" w:sz="8" w:space="0" w:color="auto"/>
              <w:right w:val="single" w:sz="4" w:space="0" w:color="auto"/>
            </w:tcBorders>
            <w:shd w:val="clear" w:color="auto" w:fill="8496B0" w:themeFill="text2" w:themeFillTint="99"/>
            <w:noWrap/>
          </w:tcPr>
          <w:p w:rsidR="00DD262C" w:rsidRPr="00DD262C" w:rsidRDefault="00DD262C" w:rsidP="00B80E44">
            <w:pPr>
              <w:jc w:val="center"/>
              <w:rPr>
                <w:rFonts w:ascii="Times New Roman" w:eastAsia="Times New Roman" w:hAnsi="Times New Roman" w:cs="Times New Roman"/>
                <w:b/>
                <w:bCs/>
                <w:sz w:val="20"/>
                <w:szCs w:val="20"/>
                <w:lang w:val="uk-UA"/>
              </w:rPr>
            </w:pPr>
            <w:r w:rsidRPr="00DD262C">
              <w:rPr>
                <w:rFonts w:ascii="Times New Roman" w:hAnsi="Times New Roman" w:cs="Times New Roman"/>
                <w:b/>
                <w:sz w:val="20"/>
                <w:szCs w:val="20"/>
                <w:lang w:val="uk-UA"/>
              </w:rPr>
              <w:t>2021 рік</w:t>
            </w:r>
          </w:p>
        </w:tc>
      </w:tr>
      <w:tr w:rsidR="00DD262C" w:rsidRPr="00DD262C" w:rsidTr="00B80E44">
        <w:trPr>
          <w:trHeight w:val="731"/>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Медичне страхування (безперервне страхування здоров''я)</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13 619,0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6 349,0</w:t>
            </w:r>
          </w:p>
        </w:tc>
      </w:tr>
      <w:tr w:rsidR="00DD262C" w:rsidRPr="00DD262C" w:rsidTr="00B80E44">
        <w:trPr>
          <w:trHeight w:val="24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Медичні витрати</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8,0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4,0</w:t>
            </w:r>
          </w:p>
        </w:tc>
      </w:tr>
      <w:tr w:rsidR="00DD262C" w:rsidRPr="00DD262C" w:rsidTr="00B80E44">
        <w:trPr>
          <w:trHeight w:val="48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вантажів та багажу</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18,0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14,0</w:t>
            </w:r>
          </w:p>
        </w:tc>
      </w:tr>
      <w:tr w:rsidR="00DD262C" w:rsidRPr="00DD262C" w:rsidTr="00B80E44">
        <w:trPr>
          <w:trHeight w:val="96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від вогневих ризиків та ризиків стихійних явищ</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575 ,0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712 ,0</w:t>
            </w:r>
          </w:p>
        </w:tc>
      </w:tr>
      <w:tr w:rsidR="00DD262C" w:rsidRPr="00DD262C" w:rsidTr="00B80E44">
        <w:trPr>
          <w:trHeight w:val="48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від нещасних випадків</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5,0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7,0</w:t>
            </w:r>
          </w:p>
        </w:tc>
      </w:tr>
      <w:tr w:rsidR="00DD262C" w:rsidRPr="00DD262C" w:rsidTr="00B80E44">
        <w:trPr>
          <w:trHeight w:val="240"/>
        </w:trPr>
        <w:tc>
          <w:tcPr>
            <w:tcW w:w="2838" w:type="dxa"/>
            <w:tcBorders>
              <w:top w:val="single" w:sz="4" w:space="0" w:color="auto"/>
              <w:left w:val="single" w:sz="8" w:space="0" w:color="auto"/>
              <w:bottom w:val="nil"/>
              <w:right w:val="single" w:sz="4" w:space="0" w:color="auto"/>
            </w:tcBorders>
            <w:shd w:val="clear" w:color="auto" w:fill="auto"/>
            <w:vAlign w:val="bottom"/>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здоров"я на випадок хвороби</w:t>
            </w:r>
          </w:p>
        </w:tc>
        <w:tc>
          <w:tcPr>
            <w:tcW w:w="1695" w:type="dxa"/>
            <w:gridSpan w:val="2"/>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w:t>
            </w:r>
          </w:p>
        </w:tc>
      </w:tr>
      <w:tr w:rsidR="00DD262C" w:rsidRPr="00DD262C" w:rsidTr="00B80E44">
        <w:trPr>
          <w:trHeight w:val="240"/>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майна</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144 ,0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178 ,0</w:t>
            </w:r>
          </w:p>
        </w:tc>
      </w:tr>
      <w:tr w:rsidR="00DD262C" w:rsidRPr="00DD262C" w:rsidTr="00B80E44">
        <w:trPr>
          <w:trHeight w:val="583"/>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наземного транспорту, крім залізничного</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253 ,0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310 ,0</w:t>
            </w:r>
          </w:p>
        </w:tc>
      </w:tr>
      <w:tr w:rsidR="00DD262C" w:rsidRPr="00DD262C" w:rsidTr="00B80E44">
        <w:trPr>
          <w:trHeight w:val="408"/>
        </w:trPr>
        <w:tc>
          <w:tcPr>
            <w:tcW w:w="2838" w:type="dxa"/>
            <w:tcBorders>
              <w:top w:val="single" w:sz="4" w:space="0" w:color="auto"/>
              <w:left w:val="single" w:sz="8" w:space="0" w:color="auto"/>
              <w:bottom w:val="nil"/>
              <w:right w:val="single" w:sz="4" w:space="0" w:color="auto"/>
            </w:tcBorders>
            <w:shd w:val="clear" w:color="auto" w:fill="auto"/>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hAnsi="Times New Roman" w:cs="Times New Roman"/>
                <w:sz w:val="20"/>
                <w:szCs w:val="20"/>
                <w:lang w:val="uk-UA"/>
              </w:rPr>
              <w:t>Страхування фінансових ризиків</w:t>
            </w:r>
          </w:p>
        </w:tc>
        <w:tc>
          <w:tcPr>
            <w:tcW w:w="1695" w:type="dxa"/>
            <w:gridSpan w:val="2"/>
            <w:tcBorders>
              <w:top w:val="single" w:sz="4" w:space="0" w:color="auto"/>
              <w:left w:val="nil"/>
              <w:bottom w:val="nil"/>
              <w:right w:val="single" w:sz="4" w:space="0" w:color="auto"/>
            </w:tcBorders>
            <w:shd w:val="clear" w:color="auto" w:fill="auto"/>
            <w:noWrap/>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w:t>
            </w:r>
          </w:p>
        </w:tc>
        <w:tc>
          <w:tcPr>
            <w:tcW w:w="1954" w:type="dxa"/>
            <w:tcBorders>
              <w:top w:val="single" w:sz="4" w:space="0" w:color="auto"/>
              <w:left w:val="nil"/>
              <w:bottom w:val="nil"/>
              <w:right w:val="single" w:sz="4" w:space="0" w:color="auto"/>
            </w:tcBorders>
            <w:shd w:val="clear" w:color="auto" w:fill="auto"/>
            <w:noWrap/>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5 ,0</w:t>
            </w:r>
          </w:p>
        </w:tc>
      </w:tr>
      <w:tr w:rsidR="00DD262C" w:rsidRPr="00DD262C" w:rsidTr="00B80E44">
        <w:trPr>
          <w:trHeight w:val="557"/>
        </w:trPr>
        <w:tc>
          <w:tcPr>
            <w:tcW w:w="2838" w:type="dxa"/>
            <w:tcBorders>
              <w:top w:val="single" w:sz="4" w:space="0" w:color="auto"/>
              <w:left w:val="single" w:sz="8" w:space="0" w:color="auto"/>
              <w:bottom w:val="nil"/>
              <w:right w:val="single" w:sz="4" w:space="0" w:color="auto"/>
            </w:tcBorders>
            <w:shd w:val="clear" w:color="auto" w:fill="auto"/>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Страхування ЦВ перед третіми особами</w:t>
            </w:r>
          </w:p>
        </w:tc>
        <w:tc>
          <w:tcPr>
            <w:tcW w:w="1695" w:type="dxa"/>
            <w:gridSpan w:val="2"/>
            <w:tcBorders>
              <w:top w:val="single" w:sz="4" w:space="0" w:color="auto"/>
              <w:left w:val="nil"/>
              <w:bottom w:val="nil"/>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186,0</w:t>
            </w:r>
          </w:p>
        </w:tc>
        <w:tc>
          <w:tcPr>
            <w:tcW w:w="1954" w:type="dxa"/>
            <w:tcBorders>
              <w:top w:val="single" w:sz="4" w:space="0" w:color="auto"/>
              <w:left w:val="nil"/>
              <w:bottom w:val="nil"/>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149,0</w:t>
            </w:r>
          </w:p>
        </w:tc>
      </w:tr>
      <w:tr w:rsidR="00DD262C" w:rsidRPr="00DD262C" w:rsidTr="00B80E44">
        <w:trPr>
          <w:trHeight w:val="252"/>
        </w:trPr>
        <w:tc>
          <w:tcPr>
            <w:tcW w:w="283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DD262C" w:rsidRPr="00DD262C" w:rsidRDefault="00DD262C" w:rsidP="00B80E44">
            <w:pP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Разом</w:t>
            </w:r>
          </w:p>
        </w:tc>
        <w:tc>
          <w:tcPr>
            <w:tcW w:w="1695" w:type="dxa"/>
            <w:gridSpan w:val="2"/>
            <w:tcBorders>
              <w:top w:val="single" w:sz="4" w:space="0" w:color="auto"/>
              <w:left w:val="nil"/>
              <w:bottom w:val="single" w:sz="8" w:space="0" w:color="auto"/>
              <w:right w:val="single" w:sz="4" w:space="0" w:color="auto"/>
            </w:tcBorders>
            <w:shd w:val="clear" w:color="auto" w:fill="auto"/>
            <w:noWrap/>
            <w:vAlign w:val="bottom"/>
            <w:hideMark/>
          </w:tcPr>
          <w:p w:rsidR="00DD262C" w:rsidRPr="00DD262C" w:rsidRDefault="00DD262C" w:rsidP="00B80E44">
            <w:pPr>
              <w:jc w:val="center"/>
              <w:rPr>
                <w:rFonts w:ascii="Times New Roman" w:eastAsia="Times New Roman" w:hAnsi="Times New Roman" w:cs="Times New Roman"/>
                <w:bCs/>
                <w:sz w:val="20"/>
                <w:szCs w:val="20"/>
                <w:lang w:val="uk-UA"/>
              </w:rPr>
            </w:pPr>
            <w:r w:rsidRPr="00DD262C">
              <w:rPr>
                <w:rFonts w:ascii="Times New Roman" w:eastAsia="Times New Roman" w:hAnsi="Times New Roman" w:cs="Times New Roman"/>
                <w:bCs/>
                <w:sz w:val="20"/>
                <w:szCs w:val="20"/>
                <w:lang w:val="uk-UA"/>
              </w:rPr>
              <w:t>14 808,0</w:t>
            </w:r>
          </w:p>
        </w:tc>
        <w:tc>
          <w:tcPr>
            <w:tcW w:w="1954" w:type="dxa"/>
            <w:tcBorders>
              <w:top w:val="single" w:sz="4" w:space="0" w:color="auto"/>
              <w:left w:val="nil"/>
              <w:bottom w:val="single" w:sz="8" w:space="0" w:color="auto"/>
              <w:right w:val="single" w:sz="4" w:space="0" w:color="auto"/>
            </w:tcBorders>
            <w:shd w:val="clear" w:color="auto" w:fill="auto"/>
            <w:noWrap/>
            <w:vAlign w:val="bottom"/>
          </w:tcPr>
          <w:p w:rsidR="00DD262C" w:rsidRPr="00DD262C" w:rsidRDefault="00DD262C" w:rsidP="00B80E44">
            <w:pPr>
              <w:pStyle w:val="ac"/>
              <w:jc w:val="center"/>
              <w:rPr>
                <w:rFonts w:eastAsia="Times New Roman"/>
                <w:b/>
                <w:bCs/>
                <w:sz w:val="20"/>
                <w:szCs w:val="20"/>
                <w:lang w:val="uk-UA" w:eastAsia="ru-RU"/>
              </w:rPr>
            </w:pPr>
            <w:r w:rsidRPr="00DD262C">
              <w:rPr>
                <w:rFonts w:eastAsia="Times New Roman"/>
                <w:bCs/>
                <w:sz w:val="20"/>
                <w:szCs w:val="20"/>
                <w:lang w:val="uk-UA" w:eastAsia="ru-RU"/>
              </w:rPr>
              <w:t>7 728,0</w:t>
            </w:r>
          </w:p>
        </w:tc>
      </w:tr>
    </w:tbl>
    <w:p w:rsidR="00DD262C" w:rsidRPr="00DD262C" w:rsidRDefault="00DD262C" w:rsidP="00DD262C">
      <w:pPr>
        <w:pStyle w:val="a3"/>
        <w:ind w:firstLine="539"/>
        <w:rPr>
          <w:b/>
          <w:i/>
        </w:rPr>
      </w:pPr>
    </w:p>
    <w:p w:rsidR="00DD262C" w:rsidRPr="00DD262C" w:rsidRDefault="00DD262C" w:rsidP="00DD262C">
      <w:pPr>
        <w:pStyle w:val="a3"/>
        <w:ind w:firstLine="539"/>
        <w:rPr>
          <w:i/>
        </w:rPr>
      </w:pPr>
    </w:p>
    <w:p w:rsidR="00DD262C" w:rsidRPr="00DD262C" w:rsidRDefault="00DD262C" w:rsidP="00DD262C">
      <w:pPr>
        <w:pStyle w:val="a3"/>
        <w:ind w:firstLine="539"/>
        <w:rPr>
          <w:b/>
          <w:i/>
        </w:rPr>
      </w:pPr>
    </w:p>
    <w:p w:rsidR="00DD262C" w:rsidRPr="00DD262C" w:rsidRDefault="00DD262C" w:rsidP="00DD262C">
      <w:pPr>
        <w:pStyle w:val="a3"/>
        <w:ind w:firstLine="539"/>
        <w:rPr>
          <w:b/>
          <w:i/>
        </w:rPr>
      </w:pPr>
    </w:p>
    <w:p w:rsidR="00DD262C" w:rsidRPr="00DD262C" w:rsidRDefault="00DD262C" w:rsidP="00DD262C">
      <w:pPr>
        <w:pStyle w:val="a3"/>
        <w:ind w:firstLine="539"/>
        <w:rPr>
          <w:b/>
          <w:i/>
        </w:rPr>
      </w:pPr>
    </w:p>
    <w:p w:rsidR="00DD262C" w:rsidRPr="00DD262C" w:rsidRDefault="00DD262C" w:rsidP="00DD262C">
      <w:pPr>
        <w:pStyle w:val="a3"/>
        <w:ind w:firstLine="539"/>
        <w:rPr>
          <w:b/>
          <w:i/>
        </w:rPr>
      </w:pPr>
    </w:p>
    <w:p w:rsidR="00DD262C" w:rsidRPr="00DD262C" w:rsidRDefault="00DD262C" w:rsidP="00DD262C">
      <w:pPr>
        <w:pStyle w:val="a3"/>
        <w:ind w:firstLine="539"/>
        <w:rPr>
          <w:b/>
          <w:i/>
        </w:rPr>
      </w:pPr>
      <w:r w:rsidRPr="00DD262C">
        <w:rPr>
          <w:b/>
          <w:i/>
        </w:rPr>
        <w:t>6.14.  Інші операційні доходи</w:t>
      </w:r>
      <w:bookmarkEnd w:id="21"/>
      <w:bookmarkEnd w:id="22"/>
      <w:bookmarkEnd w:id="23"/>
      <w:r w:rsidRPr="00DD262C">
        <w:rPr>
          <w:b/>
          <w:i/>
        </w:rPr>
        <w:t xml:space="preserve"> </w:t>
      </w:r>
    </w:p>
    <w:p w:rsidR="00DD262C" w:rsidRPr="00DD262C" w:rsidRDefault="00DD262C" w:rsidP="00DD262C">
      <w:pPr>
        <w:pStyle w:val="a3"/>
        <w:ind w:firstLine="539"/>
        <w:jc w:val="center"/>
        <w:rPr>
          <w:sz w:val="18"/>
          <w:szCs w:val="18"/>
        </w:rPr>
      </w:pPr>
      <w:r w:rsidRPr="00DD262C">
        <w:rPr>
          <w:i/>
          <w:sz w:val="18"/>
          <w:szCs w:val="18"/>
        </w:rPr>
        <w:t xml:space="preserve">                                                                                        </w:t>
      </w:r>
      <w:r w:rsidRPr="00DD262C">
        <w:rPr>
          <w:sz w:val="18"/>
          <w:szCs w:val="18"/>
        </w:rPr>
        <w:t>Таб.6.14 тис.грн.</w:t>
      </w:r>
    </w:p>
    <w:tbl>
      <w:tblPr>
        <w:tblW w:w="4052"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86"/>
        <w:gridCol w:w="4448"/>
        <w:gridCol w:w="1369"/>
        <w:gridCol w:w="1369"/>
      </w:tblGrid>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885"/>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 рік</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922"/>
                <w:tab w:val="left" w:pos="2102"/>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 рік</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885"/>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275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848"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922"/>
                <w:tab w:val="left" w:pos="2102"/>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Дохід від надання послуг для інших страховиків та інших послуг (виконання робіт)</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3,0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1,7</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2</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Суми, що повертаються із технічних резервів, інших, ніж резерви незароблених премій, та інших резервів (крім резервів із страхування життя)</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80,6</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3</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Частки страхових виплат і відшкодувань, компенсовані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4</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Частки викупних сум, що компенсуються  перестраховиками</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5</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Суми, що повертаються із централізованих страхових резервних фондів</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6</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Суми, від реалізації права вимоги до особи, відповідальної за заподіяні збитки</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Суми дооцінки необоротних активів</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670,0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1800,0</w:t>
            </w:r>
          </w:p>
        </w:tc>
      </w:tr>
      <w:tr w:rsidR="00DD262C" w:rsidRPr="00DD262C" w:rsidTr="00B80E44">
        <w:trPr>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7</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Інші операційні доходи</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100,0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0</w:t>
            </w:r>
          </w:p>
        </w:tc>
      </w:tr>
      <w:tr w:rsidR="00DD262C" w:rsidRPr="00DD262C" w:rsidTr="00B80E44">
        <w:trPr>
          <w:trHeight w:val="417"/>
          <w:jc w:val="center"/>
        </w:trPr>
        <w:tc>
          <w:tcPr>
            <w:tcW w:w="549"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885"/>
              </w:tabs>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8</w:t>
            </w:r>
          </w:p>
        </w:tc>
        <w:tc>
          <w:tcPr>
            <w:tcW w:w="275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sz w:val="20"/>
                <w:lang w:val="uk-UA"/>
              </w:rPr>
            </w:pPr>
            <w:r w:rsidRPr="00DD262C">
              <w:rPr>
                <w:rFonts w:ascii="Times New Roman" w:hAnsi="Times New Roman" w:cs="Times New Roman"/>
                <w:b/>
                <w:bCs/>
                <w:color w:val="000000"/>
                <w:sz w:val="20"/>
                <w:lang w:val="uk-UA"/>
              </w:rPr>
              <w:t>Усього інших операційних доходів </w:t>
            </w:r>
          </w:p>
        </w:tc>
        <w:tc>
          <w:tcPr>
            <w:tcW w:w="848"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773,0</w:t>
            </w:r>
          </w:p>
        </w:tc>
        <w:tc>
          <w:tcPr>
            <w:tcW w:w="848"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1882,3</w:t>
            </w:r>
          </w:p>
        </w:tc>
      </w:tr>
    </w:tbl>
    <w:p w:rsidR="00DD262C" w:rsidRPr="00DD262C" w:rsidRDefault="00DD262C" w:rsidP="00DD262C">
      <w:pPr>
        <w:pStyle w:val="1"/>
        <w:numPr>
          <w:ilvl w:val="0"/>
          <w:numId w:val="0"/>
        </w:numPr>
        <w:tabs>
          <w:tab w:val="num" w:pos="3627"/>
        </w:tabs>
        <w:rPr>
          <w:i/>
          <w:sz w:val="24"/>
        </w:rPr>
      </w:pPr>
      <w:bookmarkStart w:id="28" w:name="_Ref113270638"/>
      <w:bookmarkStart w:id="29" w:name="_Ref113270586"/>
      <w:bookmarkStart w:id="30" w:name="_Ref113270327"/>
      <w:bookmarkStart w:id="31" w:name="_Ref113248557"/>
      <w:bookmarkStart w:id="32" w:name="_Toc320725141"/>
      <w:bookmarkStart w:id="33" w:name="_Ref320645300"/>
      <w:bookmarkStart w:id="34" w:name="_Ref320643365"/>
      <w:bookmarkStart w:id="35" w:name="_Ref320033495"/>
      <w:bookmarkStart w:id="36" w:name="_Ref320033494"/>
      <w:r w:rsidRPr="00DD262C">
        <w:rPr>
          <w:i/>
          <w:sz w:val="24"/>
        </w:rPr>
        <w:t>6.15.  Адміністративні, витрати на збут та інші операційні витрати</w:t>
      </w:r>
      <w:bookmarkEnd w:id="24"/>
      <w:bookmarkEnd w:id="25"/>
      <w:bookmarkEnd w:id="26"/>
      <w:bookmarkEnd w:id="28"/>
      <w:bookmarkEnd w:id="29"/>
      <w:bookmarkEnd w:id="30"/>
      <w:bookmarkEnd w:id="31"/>
      <w:bookmarkEnd w:id="32"/>
      <w:bookmarkEnd w:id="33"/>
      <w:bookmarkEnd w:id="34"/>
      <w:bookmarkEnd w:id="35"/>
      <w:bookmarkEnd w:id="36"/>
    </w:p>
    <w:p w:rsidR="00DD262C" w:rsidRPr="00DD262C" w:rsidRDefault="00DD262C" w:rsidP="00DD262C">
      <w:pPr>
        <w:ind w:left="6381" w:firstLine="709"/>
        <w:jc w:val="both"/>
        <w:rPr>
          <w:rFonts w:ascii="Times New Roman" w:hAnsi="Times New Roman" w:cs="Times New Roman"/>
          <w:sz w:val="18"/>
          <w:szCs w:val="18"/>
          <w:lang w:val="uk-UA"/>
        </w:rPr>
      </w:pPr>
      <w:r w:rsidRPr="00DD262C">
        <w:rPr>
          <w:rFonts w:ascii="Times New Roman" w:hAnsi="Times New Roman" w:cs="Times New Roman"/>
          <w:sz w:val="18"/>
          <w:szCs w:val="18"/>
          <w:lang w:val="uk-UA"/>
        </w:rPr>
        <w:t>Таб.6.11. (тис. грн.)</w:t>
      </w:r>
    </w:p>
    <w:tbl>
      <w:tblPr>
        <w:tblW w:w="397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811"/>
        <w:gridCol w:w="4372"/>
        <w:gridCol w:w="1416"/>
        <w:gridCol w:w="1321"/>
      </w:tblGrid>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468"/>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430"/>
              </w:tabs>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2022рік</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 рік</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468"/>
              </w:tabs>
              <w:jc w:val="center"/>
              <w:rPr>
                <w:rFonts w:ascii="Times New Roman" w:hAnsi="Times New Roman" w:cs="Times New Roman"/>
                <w:b/>
                <w:color w:val="FFFFFF"/>
                <w:sz w:val="20"/>
                <w:lang w:val="uk-UA"/>
              </w:rPr>
            </w:pPr>
            <w:r w:rsidRPr="00DD262C">
              <w:rPr>
                <w:rFonts w:ascii="Times New Roman" w:hAnsi="Times New Roman" w:cs="Times New Roman"/>
                <w:b/>
                <w:color w:val="FFFFFF"/>
                <w:sz w:val="20"/>
                <w:lang w:val="uk-UA"/>
              </w:rPr>
              <w:t>1</w:t>
            </w:r>
          </w:p>
        </w:tc>
        <w:tc>
          <w:tcPr>
            <w:tcW w:w="276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sz w:val="20"/>
                <w:lang w:val="uk-UA"/>
              </w:rPr>
            </w:pPr>
            <w:r w:rsidRPr="00DD262C">
              <w:rPr>
                <w:rFonts w:ascii="Times New Roman" w:hAnsi="Times New Roman" w:cs="Times New Roman"/>
                <w:b/>
                <w:color w:val="FFFFFF"/>
                <w:sz w:val="20"/>
                <w:lang w:val="uk-UA"/>
              </w:rPr>
              <w:t>2</w:t>
            </w:r>
          </w:p>
        </w:tc>
        <w:tc>
          <w:tcPr>
            <w:tcW w:w="89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tabs>
                <w:tab w:val="left" w:pos="1430"/>
              </w:tabs>
              <w:jc w:val="center"/>
              <w:rPr>
                <w:rFonts w:ascii="Times New Roman" w:hAnsi="Times New Roman" w:cs="Times New Roman"/>
                <w:b/>
                <w:color w:val="FFFFFF"/>
                <w:sz w:val="20"/>
                <w:lang w:val="uk-UA"/>
              </w:rPr>
            </w:pPr>
            <w:r w:rsidRPr="00DD262C">
              <w:rPr>
                <w:rFonts w:ascii="Times New Roman" w:hAnsi="Times New Roman" w:cs="Times New Roman"/>
                <w:b/>
                <w:color w:val="FFFFFF"/>
                <w:sz w:val="20"/>
                <w:lang w:val="uk-UA"/>
              </w:rPr>
              <w:t>3</w:t>
            </w:r>
          </w:p>
        </w:tc>
        <w:tc>
          <w:tcPr>
            <w:tcW w:w="83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sz w:val="20"/>
                <w:lang w:val="uk-UA"/>
              </w:rPr>
            </w:pPr>
            <w:r w:rsidRPr="00DD262C">
              <w:rPr>
                <w:rFonts w:ascii="Times New Roman" w:hAnsi="Times New Roman" w:cs="Times New Roman"/>
                <w:b/>
                <w:color w:val="FFFFFF"/>
                <w:sz w:val="20"/>
                <w:lang w:val="uk-UA"/>
              </w:rPr>
              <w:t>4</w:t>
            </w:r>
          </w:p>
        </w:tc>
      </w:tr>
      <w:tr w:rsidR="00DD262C" w:rsidRPr="00DD262C" w:rsidTr="00B80E44">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sz w:val="20"/>
                <w:lang w:val="uk-UA"/>
              </w:rPr>
            </w:pPr>
            <w:r w:rsidRPr="00DD262C">
              <w:rPr>
                <w:rFonts w:ascii="Times New Roman" w:hAnsi="Times New Roman" w:cs="Times New Roman"/>
                <w:sz w:val="20"/>
                <w:lang w:val="uk-UA"/>
              </w:rPr>
              <w:t xml:space="preserve"> </w:t>
            </w:r>
            <w:r w:rsidRPr="00DD262C">
              <w:rPr>
                <w:rFonts w:ascii="Times New Roman" w:hAnsi="Times New Roman" w:cs="Times New Roman"/>
                <w:b/>
                <w:bCs/>
                <w:sz w:val="20"/>
                <w:lang w:val="uk-UA"/>
              </w:rPr>
              <w:t>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(4 414,0)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(3828,3)</w:t>
            </w:r>
          </w:p>
        </w:tc>
      </w:tr>
      <w:tr w:rsidR="00DD262C" w:rsidRPr="00DD262C" w:rsidTr="00B80E44">
        <w:trPr>
          <w:trHeight w:val="286"/>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(1517,0)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(1744,0)</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Фформування резервів під відпустки в сумі</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(157,0)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(929,0)</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Інші адміністративні  витрати</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(2 740,0)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(1155,3)</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sz w:val="20"/>
                <w:lang w:val="uk-UA"/>
              </w:rPr>
            </w:pPr>
            <w:r w:rsidRPr="00DD262C">
              <w:rPr>
                <w:rFonts w:ascii="Times New Roman" w:hAnsi="Times New Roman" w:cs="Times New Roman"/>
                <w:b/>
                <w:bCs/>
                <w:color w:val="000000"/>
                <w:sz w:val="20"/>
                <w:lang w:val="uk-UA"/>
              </w:rPr>
              <w:t>Собівартість послуг та витрати на збут:</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(3859,0)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(1211,0)</w:t>
            </w:r>
          </w:p>
        </w:tc>
      </w:tr>
      <w:tr w:rsidR="00DD262C" w:rsidRPr="00DD262C" w:rsidTr="00B80E44">
        <w:trPr>
          <w:trHeight w:val="200"/>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Витрати на утримання персоналу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(41)</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2</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Амортизація основних засобів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3</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Витрати, пов’язані з укладанням та пролонгацією договорів страхування (агентська,  брокерська, комісійна винагорода)</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(3 198,0)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(1114,0)</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4</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Страхові виплати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(235)</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(5,1)</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5</w:t>
            </w: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sz w:val="20"/>
                <w:lang w:val="uk-UA"/>
              </w:rPr>
            </w:pPr>
            <w:r w:rsidRPr="00DD262C">
              <w:rPr>
                <w:rFonts w:ascii="Times New Roman" w:hAnsi="Times New Roman" w:cs="Times New Roman"/>
                <w:color w:val="000000"/>
                <w:sz w:val="20"/>
                <w:lang w:val="uk-UA"/>
              </w:rPr>
              <w:t>Інші витрати на збут послуг</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(620,0)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sz w:val="20"/>
                <w:lang w:val="uk-UA"/>
              </w:rPr>
            </w:pPr>
            <w:r w:rsidRPr="00DD262C">
              <w:rPr>
                <w:rFonts w:ascii="Times New Roman" w:hAnsi="Times New Roman" w:cs="Times New Roman"/>
                <w:color w:val="000000"/>
                <w:sz w:val="20"/>
                <w:lang w:val="uk-UA"/>
              </w:rPr>
              <w:t>(90,9)</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sz w:val="20"/>
                <w:lang w:val="uk-UA"/>
              </w:rPr>
            </w:pPr>
            <w:r w:rsidRPr="00DD262C">
              <w:rPr>
                <w:rFonts w:ascii="Times New Roman" w:hAnsi="Times New Roman" w:cs="Times New Roman"/>
                <w:b/>
                <w:bCs/>
                <w:color w:val="000000"/>
                <w:sz w:val="20"/>
                <w:lang w:val="uk-UA"/>
              </w:rPr>
              <w:t>Інші операційні витрати,у т.ч.</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(3223,00)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(2052,8)</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tcPr>
          <w:p w:rsidR="00DD262C" w:rsidRPr="00DD262C" w:rsidRDefault="00DD262C" w:rsidP="00B80E44">
            <w:pPr>
              <w:rPr>
                <w:rFonts w:ascii="Times New Roman" w:hAnsi="Times New Roman" w:cs="Times New Roman"/>
                <w:b/>
                <w:bCs/>
                <w:color w:val="000000"/>
                <w:lang w:val="uk-UA"/>
              </w:rPr>
            </w:pPr>
            <w:r w:rsidRPr="00DD262C">
              <w:rPr>
                <w:rFonts w:ascii="Times New Roman" w:hAnsi="Times New Roman" w:cs="Times New Roman"/>
                <w:lang w:val="uk-UA"/>
              </w:rPr>
              <w:t>Суми уцінки необоротних активів</w:t>
            </w:r>
          </w:p>
        </w:tc>
        <w:tc>
          <w:tcPr>
            <w:tcW w:w="894" w:type="pct"/>
            <w:tcBorders>
              <w:top w:val="single" w:sz="12" w:space="0" w:color="auto"/>
              <w:left w:val="single" w:sz="12" w:space="0" w:color="auto"/>
              <w:bottom w:val="single" w:sz="12" w:space="0" w:color="auto"/>
              <w:right w:val="single" w:sz="12" w:space="0" w:color="auto"/>
            </w:tcBorders>
            <w:noWrap/>
          </w:tcPr>
          <w:p w:rsidR="00DD262C" w:rsidRPr="00DD262C" w:rsidRDefault="00DD262C" w:rsidP="00B80E44">
            <w:pPr>
              <w:rPr>
                <w:rFonts w:ascii="Times New Roman" w:hAnsi="Times New Roman" w:cs="Times New Roman"/>
                <w:b/>
                <w:color w:val="000000"/>
                <w:sz w:val="20"/>
                <w:lang w:val="uk-UA"/>
              </w:rPr>
            </w:pPr>
            <w:r w:rsidRPr="00DD262C">
              <w:rPr>
                <w:rFonts w:ascii="Times New Roman" w:hAnsi="Times New Roman" w:cs="Times New Roman"/>
                <w:lang w:val="uk-UA"/>
              </w:rPr>
              <w:t xml:space="preserve">     530,0</w:t>
            </w:r>
          </w:p>
        </w:tc>
        <w:tc>
          <w:tcPr>
            <w:tcW w:w="834" w:type="pct"/>
            <w:tcBorders>
              <w:top w:val="single" w:sz="12" w:space="0" w:color="auto"/>
              <w:left w:val="single" w:sz="12" w:space="0" w:color="auto"/>
              <w:bottom w:val="single" w:sz="12" w:space="0" w:color="auto"/>
              <w:right w:val="single" w:sz="12" w:space="0" w:color="auto"/>
            </w:tcBorders>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lang w:val="uk-UA"/>
              </w:rPr>
              <w:t>0</w:t>
            </w:r>
          </w:p>
        </w:tc>
      </w:tr>
      <w:tr w:rsidR="00DD262C" w:rsidRPr="00DD262C" w:rsidTr="00B80E44">
        <w:trPr>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sz w:val="20"/>
                <w:lang w:val="uk-UA"/>
              </w:rPr>
            </w:pPr>
            <w:r w:rsidRPr="00DD262C">
              <w:rPr>
                <w:rFonts w:ascii="Times New Roman" w:hAnsi="Times New Roman" w:cs="Times New Roman"/>
                <w:b/>
                <w:bCs/>
                <w:color w:val="000000"/>
                <w:sz w:val="20"/>
                <w:lang w:val="uk-UA"/>
              </w:rPr>
              <w:t>Резерв очікуваних кредитних збитків</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 xml:space="preserve">      (0)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 xml:space="preserve">      (0)</w:t>
            </w:r>
          </w:p>
        </w:tc>
      </w:tr>
      <w:tr w:rsidR="00DD262C" w:rsidRPr="00DD262C" w:rsidTr="00B80E44">
        <w:trPr>
          <w:trHeight w:val="372"/>
          <w:jc w:val="center"/>
        </w:trPr>
        <w:tc>
          <w:tcPr>
            <w:tcW w:w="512"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tabs>
                <w:tab w:val="left" w:pos="1468"/>
              </w:tabs>
              <w:jc w:val="center"/>
              <w:rPr>
                <w:rFonts w:ascii="Times New Roman" w:hAnsi="Times New Roman" w:cs="Times New Roman"/>
                <w:color w:val="000000"/>
                <w:sz w:val="20"/>
                <w:lang w:val="uk-UA"/>
              </w:rPr>
            </w:pPr>
          </w:p>
        </w:tc>
        <w:tc>
          <w:tcPr>
            <w:tcW w:w="2760"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sz w:val="20"/>
                <w:lang w:val="uk-UA"/>
              </w:rPr>
            </w:pPr>
            <w:r w:rsidRPr="00DD262C">
              <w:rPr>
                <w:rFonts w:ascii="Times New Roman" w:hAnsi="Times New Roman" w:cs="Times New Roman"/>
                <w:b/>
                <w:bCs/>
                <w:color w:val="000000"/>
                <w:sz w:val="20"/>
                <w:lang w:val="uk-UA"/>
              </w:rPr>
              <w:t>Усього адміністративних, збутових та інших операційних витрат </w:t>
            </w:r>
          </w:p>
        </w:tc>
        <w:tc>
          <w:tcPr>
            <w:tcW w:w="894"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11 731,0</w:t>
            </w:r>
          </w:p>
        </w:tc>
        <w:tc>
          <w:tcPr>
            <w:tcW w:w="834"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b/>
                <w:color w:val="000000"/>
                <w:sz w:val="20"/>
                <w:lang w:val="uk-UA"/>
              </w:rPr>
            </w:pPr>
            <w:r w:rsidRPr="00DD262C">
              <w:rPr>
                <w:rFonts w:ascii="Times New Roman" w:hAnsi="Times New Roman" w:cs="Times New Roman"/>
                <w:b/>
                <w:color w:val="000000"/>
                <w:sz w:val="20"/>
                <w:lang w:val="uk-UA"/>
              </w:rPr>
              <w:t>(7092,1)</w:t>
            </w:r>
          </w:p>
        </w:tc>
      </w:tr>
    </w:tbl>
    <w:p w:rsidR="00DD262C" w:rsidRPr="00DD262C" w:rsidRDefault="00DD262C" w:rsidP="00DD262C">
      <w:pPr>
        <w:ind w:left="567"/>
        <w:rPr>
          <w:rFonts w:ascii="Times New Roman" w:hAnsi="Times New Roman" w:cs="Times New Roman"/>
          <w:lang w:val="uk-UA"/>
        </w:rPr>
      </w:pPr>
    </w:p>
    <w:p w:rsidR="00DD262C" w:rsidRPr="00DD262C" w:rsidRDefault="00DD262C" w:rsidP="00DD262C">
      <w:pPr>
        <w:pStyle w:val="ac"/>
        <w:rPr>
          <w:b/>
          <w:sz w:val="24"/>
          <w:szCs w:val="24"/>
          <w:lang w:val="uk-UA"/>
        </w:rPr>
      </w:pPr>
      <w:r w:rsidRPr="00DD262C">
        <w:rPr>
          <w:b/>
          <w:sz w:val="24"/>
          <w:szCs w:val="24"/>
          <w:lang w:val="uk-UA"/>
        </w:rPr>
        <w:t>До витрат на утримання персоналу включено витрати на:</w:t>
      </w:r>
    </w:p>
    <w:p w:rsidR="00DD262C" w:rsidRPr="00DD262C" w:rsidRDefault="00DD262C" w:rsidP="00DD262C">
      <w:pPr>
        <w:pStyle w:val="ac"/>
        <w:numPr>
          <w:ilvl w:val="0"/>
          <w:numId w:val="35"/>
        </w:numPr>
        <w:rPr>
          <w:sz w:val="24"/>
          <w:szCs w:val="24"/>
          <w:lang w:val="uk-UA"/>
        </w:rPr>
      </w:pPr>
      <w:r w:rsidRPr="00DD262C">
        <w:rPr>
          <w:sz w:val="24"/>
          <w:szCs w:val="24"/>
          <w:lang w:val="uk-UA"/>
        </w:rPr>
        <w:t>виплату заробітної плати управлінському персоналу в сумі 1517,00 тис. грн.</w:t>
      </w:r>
    </w:p>
    <w:p w:rsidR="00DD262C" w:rsidRPr="00DD262C" w:rsidRDefault="00DD262C" w:rsidP="00DD262C">
      <w:pPr>
        <w:pStyle w:val="ac"/>
        <w:numPr>
          <w:ilvl w:val="0"/>
          <w:numId w:val="35"/>
        </w:numPr>
        <w:rPr>
          <w:sz w:val="24"/>
          <w:szCs w:val="24"/>
          <w:lang w:val="uk-UA"/>
        </w:rPr>
      </w:pPr>
      <w:r w:rsidRPr="00DD262C">
        <w:rPr>
          <w:sz w:val="24"/>
          <w:szCs w:val="24"/>
          <w:lang w:val="uk-UA"/>
        </w:rPr>
        <w:t xml:space="preserve">нарахування єдиного соціального внеску в сумі 289,0 тис. грн. Розміри нарахування та сплати єдиного соціального внеску встановлюються чинним законодавством України і складають 22% та 8,41% (інваліди). </w:t>
      </w:r>
    </w:p>
    <w:p w:rsidR="00DD262C" w:rsidRPr="00DD262C" w:rsidRDefault="00DD262C" w:rsidP="00DD262C">
      <w:pPr>
        <w:pStyle w:val="ac"/>
        <w:rPr>
          <w:sz w:val="24"/>
          <w:szCs w:val="24"/>
          <w:lang w:val="uk-UA"/>
        </w:rPr>
      </w:pPr>
    </w:p>
    <w:p w:rsidR="00DD262C" w:rsidRPr="00DD262C" w:rsidRDefault="00DD262C" w:rsidP="00DD262C">
      <w:pPr>
        <w:pStyle w:val="ac"/>
        <w:rPr>
          <w:b/>
          <w:sz w:val="24"/>
          <w:szCs w:val="24"/>
          <w:lang w:val="uk-UA"/>
        </w:rPr>
      </w:pPr>
      <w:r w:rsidRPr="00DD262C">
        <w:rPr>
          <w:b/>
          <w:sz w:val="24"/>
          <w:szCs w:val="24"/>
          <w:lang w:val="uk-UA"/>
        </w:rPr>
        <w:t>До статті інші адміністративні витрати зокрема включено: 2 740 тис грн.</w:t>
      </w:r>
    </w:p>
    <w:p w:rsidR="00DD262C" w:rsidRPr="00DD262C" w:rsidRDefault="00DD262C" w:rsidP="00DD262C">
      <w:pPr>
        <w:pStyle w:val="ac"/>
        <w:numPr>
          <w:ilvl w:val="0"/>
          <w:numId w:val="34"/>
        </w:numPr>
        <w:rPr>
          <w:sz w:val="24"/>
          <w:szCs w:val="24"/>
          <w:lang w:val="uk-UA"/>
        </w:rPr>
      </w:pPr>
      <w:r w:rsidRPr="00DD262C">
        <w:rPr>
          <w:sz w:val="24"/>
          <w:szCs w:val="24"/>
          <w:lang w:val="uk-UA"/>
        </w:rPr>
        <w:t>амортизацiя інших необоротних матеріальних активів</w:t>
      </w:r>
      <w:r w:rsidRPr="00DD262C">
        <w:rPr>
          <w:sz w:val="24"/>
          <w:szCs w:val="24"/>
          <w:lang w:val="uk-UA"/>
        </w:rPr>
        <w:tab/>
        <w:t>-12,0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амортизацiя основних засобів-</w:t>
      </w:r>
      <w:r w:rsidRPr="00DD262C">
        <w:rPr>
          <w:sz w:val="24"/>
          <w:szCs w:val="24"/>
          <w:lang w:val="uk-UA"/>
        </w:rPr>
        <w:tab/>
        <w:t>850,0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асистанські послуги</w:t>
      </w:r>
      <w:r w:rsidRPr="00DD262C">
        <w:rPr>
          <w:sz w:val="24"/>
          <w:szCs w:val="24"/>
          <w:lang w:val="uk-UA"/>
        </w:rPr>
        <w:tab/>
        <w:t>-20,0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аудиторські послуги</w:t>
      </w:r>
      <w:r w:rsidRPr="00DD262C">
        <w:rPr>
          <w:sz w:val="24"/>
          <w:szCs w:val="24"/>
          <w:lang w:val="uk-UA"/>
        </w:rPr>
        <w:tab/>
        <w:t>-85,0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банківські послуги</w:t>
      </w:r>
      <w:r w:rsidRPr="00DD262C">
        <w:rPr>
          <w:sz w:val="24"/>
          <w:szCs w:val="24"/>
          <w:lang w:val="uk-UA"/>
        </w:rPr>
        <w:tab/>
        <w:t>-60,0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витр.на утрим., ремонт офісн.техн.і програм. забез.</w:t>
      </w:r>
      <w:r w:rsidRPr="00DD262C">
        <w:rPr>
          <w:sz w:val="24"/>
          <w:szCs w:val="24"/>
          <w:lang w:val="uk-UA"/>
        </w:rPr>
        <w:tab/>
        <w:t>-148,0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бланки договорів страхування</w:t>
      </w:r>
      <w:r w:rsidRPr="00DD262C">
        <w:rPr>
          <w:sz w:val="24"/>
          <w:szCs w:val="24"/>
          <w:lang w:val="uk-UA"/>
        </w:rPr>
        <w:tab/>
        <w:t>-13,0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ГСМ та бензин</w:t>
      </w:r>
      <w:r w:rsidRPr="00DD262C">
        <w:rPr>
          <w:sz w:val="24"/>
          <w:szCs w:val="24"/>
          <w:lang w:val="uk-UA"/>
        </w:rPr>
        <w:tab/>
        <w:t>- 29,0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оплату комунальних послуг-112,0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оренду приміщення</w:t>
      </w:r>
      <w:r w:rsidRPr="00DD262C">
        <w:rPr>
          <w:sz w:val="24"/>
          <w:szCs w:val="24"/>
          <w:lang w:val="uk-UA"/>
        </w:rPr>
        <w:tab/>
        <w:t>-403,0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послуги зв"язку</w:t>
      </w:r>
      <w:r w:rsidRPr="00DD262C">
        <w:rPr>
          <w:sz w:val="24"/>
          <w:szCs w:val="24"/>
          <w:lang w:val="uk-UA"/>
        </w:rPr>
        <w:tab/>
        <w:t>-70,0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страхування майна-</w:t>
      </w:r>
      <w:r w:rsidRPr="00DD262C">
        <w:rPr>
          <w:sz w:val="24"/>
          <w:szCs w:val="24"/>
          <w:lang w:val="uk-UA"/>
        </w:rPr>
        <w:tab/>
        <w:t>5,0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витрати на ТО та ремонт автотранспорту -10,0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господарчі витрати</w:t>
      </w:r>
      <w:r w:rsidRPr="00DD262C">
        <w:rPr>
          <w:sz w:val="24"/>
          <w:szCs w:val="24"/>
          <w:lang w:val="uk-UA"/>
        </w:rPr>
        <w:tab/>
        <w:t>-45,0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Інформаційно-консультаційні послуги-830,0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нотаріальні послуги-</w:t>
      </w:r>
      <w:r w:rsidRPr="00DD262C">
        <w:rPr>
          <w:sz w:val="24"/>
          <w:szCs w:val="24"/>
          <w:lang w:val="uk-UA"/>
        </w:rPr>
        <w:tab/>
        <w:t>1,0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охорона приміщення-</w:t>
      </w:r>
      <w:r w:rsidRPr="00DD262C">
        <w:rPr>
          <w:sz w:val="24"/>
          <w:szCs w:val="24"/>
          <w:lang w:val="uk-UA"/>
        </w:rPr>
        <w:tab/>
        <w:t>20,0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Податок на землю-</w:t>
      </w:r>
      <w:r w:rsidRPr="00DD262C">
        <w:rPr>
          <w:sz w:val="24"/>
          <w:szCs w:val="24"/>
          <w:lang w:val="uk-UA"/>
        </w:rPr>
        <w:tab/>
        <w:t>8,0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Податок на нерухоме майно-</w:t>
      </w:r>
      <w:r w:rsidRPr="00DD262C">
        <w:rPr>
          <w:sz w:val="24"/>
          <w:szCs w:val="24"/>
          <w:lang w:val="uk-UA"/>
        </w:rPr>
        <w:tab/>
        <w:t>11,0 тис.грн.</w:t>
      </w:r>
    </w:p>
    <w:p w:rsidR="00DD262C" w:rsidRPr="00DD262C" w:rsidRDefault="00DD262C" w:rsidP="00DD262C">
      <w:pPr>
        <w:pStyle w:val="ac"/>
        <w:numPr>
          <w:ilvl w:val="0"/>
          <w:numId w:val="34"/>
        </w:numPr>
        <w:rPr>
          <w:sz w:val="24"/>
          <w:szCs w:val="24"/>
          <w:lang w:val="uk-UA"/>
        </w:rPr>
      </w:pPr>
      <w:r w:rsidRPr="00DD262C">
        <w:rPr>
          <w:sz w:val="24"/>
          <w:szCs w:val="24"/>
          <w:lang w:val="uk-UA"/>
        </w:rPr>
        <w:t>публікація фінансової звітності-</w:t>
      </w:r>
      <w:r w:rsidRPr="00DD262C">
        <w:rPr>
          <w:sz w:val="24"/>
          <w:szCs w:val="24"/>
          <w:lang w:val="uk-UA"/>
        </w:rPr>
        <w:tab/>
        <w:t>8,0 тис.грн.</w:t>
      </w:r>
    </w:p>
    <w:p w:rsidR="00DD262C" w:rsidRPr="00DD262C" w:rsidRDefault="00DD262C" w:rsidP="00DD262C">
      <w:pPr>
        <w:pStyle w:val="ac"/>
        <w:rPr>
          <w:sz w:val="24"/>
          <w:szCs w:val="24"/>
          <w:lang w:val="uk-UA"/>
        </w:rPr>
      </w:pPr>
    </w:p>
    <w:p w:rsidR="00DD262C" w:rsidRPr="00DD262C" w:rsidRDefault="00DD262C" w:rsidP="00DD262C">
      <w:pPr>
        <w:pStyle w:val="ac"/>
        <w:rPr>
          <w:b/>
          <w:sz w:val="24"/>
          <w:szCs w:val="24"/>
          <w:lang w:val="uk-UA"/>
        </w:rPr>
      </w:pPr>
      <w:r w:rsidRPr="00DD262C">
        <w:rPr>
          <w:b/>
          <w:sz w:val="24"/>
          <w:szCs w:val="24"/>
          <w:lang w:val="uk-UA"/>
        </w:rPr>
        <w:t>До собівартість послуг та  інші витрати на збут послуг зокрема включено:</w:t>
      </w:r>
    </w:p>
    <w:p w:rsidR="00DD262C" w:rsidRPr="00DD262C" w:rsidRDefault="00DD262C" w:rsidP="00DD262C">
      <w:pPr>
        <w:pStyle w:val="ac"/>
        <w:rPr>
          <w:b/>
          <w:sz w:val="24"/>
          <w:szCs w:val="24"/>
          <w:lang w:val="uk-UA"/>
        </w:rPr>
      </w:pPr>
      <w:r w:rsidRPr="00DD262C">
        <w:rPr>
          <w:b/>
          <w:sz w:val="24"/>
          <w:szCs w:val="24"/>
          <w:lang w:val="uk-UA"/>
        </w:rPr>
        <w:t>3 859 ,0 тис. грн</w:t>
      </w:r>
    </w:p>
    <w:p w:rsidR="00DD262C" w:rsidRPr="00DD262C" w:rsidRDefault="00DD262C" w:rsidP="00DD262C">
      <w:pPr>
        <w:pStyle w:val="ac"/>
        <w:numPr>
          <w:ilvl w:val="0"/>
          <w:numId w:val="33"/>
        </w:numPr>
        <w:rPr>
          <w:sz w:val="24"/>
          <w:szCs w:val="24"/>
          <w:lang w:val="uk-UA"/>
        </w:rPr>
      </w:pPr>
      <w:r w:rsidRPr="00DD262C">
        <w:rPr>
          <w:sz w:val="24"/>
          <w:szCs w:val="24"/>
          <w:lang w:val="uk-UA"/>
        </w:rPr>
        <w:t>Витрати, пов’язані з укладанням та пролонгацією договорів страхування (агентська,  брокерська, комісійна винагорода) – 3 189,0</w:t>
      </w:r>
    </w:p>
    <w:p w:rsidR="00DD262C" w:rsidRPr="00DD262C" w:rsidRDefault="00DD262C" w:rsidP="00DD262C">
      <w:pPr>
        <w:pStyle w:val="ac"/>
        <w:numPr>
          <w:ilvl w:val="0"/>
          <w:numId w:val="33"/>
        </w:numPr>
        <w:rPr>
          <w:sz w:val="24"/>
          <w:szCs w:val="24"/>
          <w:lang w:val="uk-UA"/>
        </w:rPr>
      </w:pPr>
      <w:r w:rsidRPr="00DD262C">
        <w:rPr>
          <w:sz w:val="24"/>
          <w:szCs w:val="24"/>
          <w:lang w:val="uk-UA"/>
        </w:rPr>
        <w:t>Страхові відшкодування -235,0</w:t>
      </w:r>
    </w:p>
    <w:p w:rsidR="00DD262C" w:rsidRPr="00DD262C" w:rsidRDefault="00DD262C" w:rsidP="00DD262C">
      <w:pPr>
        <w:pStyle w:val="ac"/>
        <w:numPr>
          <w:ilvl w:val="0"/>
          <w:numId w:val="33"/>
        </w:numPr>
        <w:rPr>
          <w:sz w:val="24"/>
          <w:szCs w:val="24"/>
          <w:lang w:val="uk-UA"/>
        </w:rPr>
      </w:pPr>
      <w:r w:rsidRPr="00DD262C">
        <w:rPr>
          <w:sz w:val="24"/>
          <w:szCs w:val="24"/>
          <w:lang w:val="uk-UA"/>
        </w:rPr>
        <w:t>витрати на оренду авто-18,0 тис. грн</w:t>
      </w:r>
    </w:p>
    <w:p w:rsidR="00DD262C" w:rsidRPr="00DD262C" w:rsidRDefault="00DD262C" w:rsidP="00DD262C">
      <w:pPr>
        <w:pStyle w:val="ac"/>
        <w:numPr>
          <w:ilvl w:val="0"/>
          <w:numId w:val="33"/>
        </w:numPr>
        <w:rPr>
          <w:sz w:val="24"/>
          <w:szCs w:val="24"/>
          <w:lang w:val="uk-UA"/>
        </w:rPr>
      </w:pPr>
      <w:r w:rsidRPr="00DD262C">
        <w:rPr>
          <w:sz w:val="24"/>
          <w:szCs w:val="24"/>
          <w:lang w:val="uk-UA"/>
        </w:rPr>
        <w:t>витрата на оплату праці винагорода та податки- 41,0 тис.грн.</w:t>
      </w:r>
    </w:p>
    <w:p w:rsidR="00DD262C" w:rsidRPr="00DD262C" w:rsidRDefault="00DD262C" w:rsidP="00DD262C">
      <w:pPr>
        <w:pStyle w:val="ac"/>
        <w:numPr>
          <w:ilvl w:val="0"/>
          <w:numId w:val="33"/>
        </w:numPr>
        <w:rPr>
          <w:sz w:val="24"/>
          <w:szCs w:val="24"/>
          <w:lang w:val="uk-UA"/>
        </w:rPr>
      </w:pPr>
      <w:r w:rsidRPr="00DD262C">
        <w:rPr>
          <w:sz w:val="24"/>
          <w:szCs w:val="24"/>
          <w:lang w:val="uk-UA"/>
        </w:rPr>
        <w:t>витрати по використ. обл-ня для лікування  застрах-376,0 тис. грн</w:t>
      </w:r>
    </w:p>
    <w:p w:rsidR="00DD262C" w:rsidRPr="00DD262C" w:rsidRDefault="00DD262C" w:rsidP="00DD262C">
      <w:pPr>
        <w:pStyle w:val="ac"/>
        <w:numPr>
          <w:ilvl w:val="0"/>
          <w:numId w:val="33"/>
        </w:numPr>
        <w:rPr>
          <w:sz w:val="24"/>
          <w:szCs w:val="24"/>
          <w:lang w:val="uk-UA"/>
        </w:rPr>
      </w:pPr>
      <w:r w:rsidRPr="00DD262C">
        <w:rPr>
          <w:sz w:val="24"/>
          <w:szCs w:val="24"/>
          <w:lang w:val="uk-UA"/>
        </w:rPr>
        <w:t>До статті інші операційні витрати зокрема включено витрати: 3 223тис. грн</w:t>
      </w:r>
    </w:p>
    <w:p w:rsidR="00DD262C" w:rsidRPr="00DD262C" w:rsidRDefault="00DD262C" w:rsidP="00DD262C">
      <w:pPr>
        <w:pStyle w:val="ac"/>
        <w:numPr>
          <w:ilvl w:val="0"/>
          <w:numId w:val="33"/>
        </w:numPr>
        <w:rPr>
          <w:sz w:val="24"/>
          <w:szCs w:val="24"/>
          <w:lang w:val="uk-UA"/>
        </w:rPr>
      </w:pPr>
      <w:r w:rsidRPr="00DD262C">
        <w:rPr>
          <w:sz w:val="24"/>
          <w:szCs w:val="24"/>
          <w:lang w:val="uk-UA"/>
        </w:rPr>
        <w:t>благодійна допомога-932,0 тис.грн.</w:t>
      </w:r>
    </w:p>
    <w:p w:rsidR="00DD262C" w:rsidRPr="00DD262C" w:rsidRDefault="00DD262C" w:rsidP="00DD262C">
      <w:pPr>
        <w:pStyle w:val="ac"/>
        <w:numPr>
          <w:ilvl w:val="0"/>
          <w:numId w:val="33"/>
        </w:numPr>
        <w:rPr>
          <w:sz w:val="24"/>
          <w:szCs w:val="24"/>
          <w:lang w:val="uk-UA"/>
        </w:rPr>
      </w:pPr>
      <w:r w:rsidRPr="00DD262C">
        <w:rPr>
          <w:sz w:val="24"/>
          <w:szCs w:val="24"/>
          <w:lang w:val="uk-UA"/>
        </w:rPr>
        <w:t>послуги зберігачів ЦП-31,0тис.грн</w:t>
      </w:r>
    </w:p>
    <w:p w:rsidR="00DD262C" w:rsidRPr="00DD262C" w:rsidRDefault="00DD262C" w:rsidP="00DD262C">
      <w:pPr>
        <w:pStyle w:val="ac"/>
        <w:numPr>
          <w:ilvl w:val="0"/>
          <w:numId w:val="33"/>
        </w:numPr>
        <w:rPr>
          <w:sz w:val="24"/>
          <w:szCs w:val="24"/>
          <w:lang w:val="uk-UA"/>
        </w:rPr>
      </w:pPr>
      <w:r w:rsidRPr="00DD262C">
        <w:rPr>
          <w:sz w:val="24"/>
          <w:szCs w:val="24"/>
          <w:lang w:val="uk-UA"/>
        </w:rPr>
        <w:t>резерв очікуваних збитків-1 792,0тис.грн</w:t>
      </w:r>
    </w:p>
    <w:p w:rsidR="00DD262C" w:rsidRPr="00DD262C" w:rsidRDefault="00DD262C" w:rsidP="00DD262C">
      <w:pPr>
        <w:pStyle w:val="ac"/>
        <w:numPr>
          <w:ilvl w:val="0"/>
          <w:numId w:val="33"/>
        </w:numPr>
        <w:rPr>
          <w:sz w:val="24"/>
          <w:szCs w:val="24"/>
          <w:lang w:val="uk-UA"/>
        </w:rPr>
      </w:pPr>
      <w:r w:rsidRPr="00DD262C">
        <w:rPr>
          <w:sz w:val="24"/>
          <w:szCs w:val="24"/>
          <w:lang w:val="uk-UA"/>
        </w:rPr>
        <w:t>сума уцінки інвесиційноїй нерухомості-530,0 тис. грн.</w:t>
      </w:r>
    </w:p>
    <w:p w:rsidR="00DD262C" w:rsidRPr="00DD262C" w:rsidRDefault="00DD262C" w:rsidP="00DD262C">
      <w:pPr>
        <w:pStyle w:val="ac"/>
        <w:rPr>
          <w:sz w:val="24"/>
          <w:szCs w:val="24"/>
          <w:lang w:val="uk-UA"/>
        </w:rPr>
      </w:pPr>
    </w:p>
    <w:p w:rsidR="00DD262C" w:rsidRPr="00DD262C" w:rsidRDefault="00DD262C" w:rsidP="00DD262C">
      <w:pPr>
        <w:pStyle w:val="ABC-paragrahinNotes"/>
        <w:tabs>
          <w:tab w:val="num" w:pos="3627"/>
        </w:tabs>
        <w:spacing w:after="0"/>
        <w:rPr>
          <w:rFonts w:ascii="Times New Roman" w:hAnsi="Times New Roman"/>
          <w:b/>
          <w:i/>
          <w:lang w:val="uk-UA"/>
        </w:rPr>
      </w:pPr>
      <w:r w:rsidRPr="00DD262C">
        <w:rPr>
          <w:rFonts w:ascii="Times New Roman" w:hAnsi="Times New Roman"/>
          <w:b/>
          <w:i/>
          <w:lang w:val="uk-UA"/>
        </w:rPr>
        <w:t>6.16.  Фінансові доходи і витрати, інші доходи та витрати</w:t>
      </w:r>
    </w:p>
    <w:p w:rsidR="00DD262C" w:rsidRPr="00DD262C" w:rsidRDefault="00DD262C" w:rsidP="00DD262C">
      <w:pPr>
        <w:ind w:left="6381" w:firstLine="709"/>
        <w:rPr>
          <w:rFonts w:ascii="Times New Roman" w:hAnsi="Times New Roman" w:cs="Times New Roman"/>
          <w:sz w:val="18"/>
          <w:szCs w:val="18"/>
          <w:lang w:val="uk-UA"/>
        </w:rPr>
      </w:pPr>
      <w:r w:rsidRPr="00DD262C">
        <w:rPr>
          <w:rFonts w:ascii="Times New Roman" w:hAnsi="Times New Roman" w:cs="Times New Roman"/>
          <w:sz w:val="18"/>
          <w:szCs w:val="18"/>
          <w:lang w:val="uk-UA"/>
        </w:rPr>
        <w:t>Таб.6.12. (тис. грн.)</w:t>
      </w:r>
    </w:p>
    <w:tbl>
      <w:tblPr>
        <w:tblW w:w="388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16"/>
        <w:gridCol w:w="4355"/>
        <w:gridCol w:w="1333"/>
        <w:gridCol w:w="1333"/>
      </w:tblGrid>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 рік</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 рік</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2815"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862"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4"/>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Доходи від депозитів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321,0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269,0</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Інші фінансові доходи(дохід від оренди)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7,0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0,0</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Інші доходи</w:t>
            </w:r>
          </w:p>
        </w:tc>
        <w:tc>
          <w:tcPr>
            <w:tcW w:w="862"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0</w:t>
            </w:r>
          </w:p>
        </w:tc>
      </w:tr>
      <w:tr w:rsidR="00DD262C" w:rsidRPr="00DD262C" w:rsidTr="00B80E44">
        <w:trPr>
          <w:trHeight w:val="372"/>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5</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lang w:val="uk-UA"/>
              </w:rPr>
            </w:pPr>
            <w:r w:rsidRPr="00DD262C">
              <w:rPr>
                <w:rFonts w:ascii="Times New Roman" w:hAnsi="Times New Roman" w:cs="Times New Roman"/>
                <w:b/>
                <w:bCs/>
                <w:color w:val="000000"/>
                <w:lang w:val="uk-UA"/>
              </w:rPr>
              <w:t>Усього фінансових та інших доходів</w:t>
            </w:r>
          </w:p>
        </w:tc>
        <w:tc>
          <w:tcPr>
            <w:tcW w:w="862" w:type="pct"/>
            <w:tcBorders>
              <w:top w:val="single" w:sz="12" w:space="0" w:color="auto"/>
              <w:left w:val="single" w:sz="12" w:space="0" w:color="auto"/>
              <w:bottom w:val="single" w:sz="12" w:space="0" w:color="auto"/>
              <w:right w:val="single" w:sz="12" w:space="0" w:color="auto"/>
            </w:tcBorders>
            <w:noWrap/>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328,0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269,0</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7</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Проценти за користування кредитами </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8</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Інші фінансові витрати</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9</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 xml:space="preserve">Інші витрати </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(1032,00)</w:t>
            </w:r>
          </w:p>
        </w:tc>
      </w:tr>
      <w:tr w:rsidR="00DD262C" w:rsidRPr="00DD262C" w:rsidTr="00B80E44">
        <w:trPr>
          <w:trHeight w:val="319"/>
          <w:jc w:val="center"/>
        </w:trPr>
        <w:tc>
          <w:tcPr>
            <w:tcW w:w="461"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10</w:t>
            </w:r>
          </w:p>
        </w:tc>
        <w:tc>
          <w:tcPr>
            <w:tcW w:w="2815"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rPr>
                <w:rFonts w:ascii="Times New Roman" w:hAnsi="Times New Roman" w:cs="Times New Roman"/>
                <w:b/>
                <w:bCs/>
                <w:color w:val="000000"/>
                <w:lang w:val="uk-UA"/>
              </w:rPr>
            </w:pPr>
            <w:r w:rsidRPr="00DD262C">
              <w:rPr>
                <w:rFonts w:ascii="Times New Roman" w:hAnsi="Times New Roman" w:cs="Times New Roman"/>
                <w:b/>
                <w:bCs/>
                <w:color w:val="000000"/>
                <w:lang w:val="uk-UA"/>
              </w:rPr>
              <w:t>Усього фінансових витрат та інших витрат </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(0,00)</w:t>
            </w:r>
          </w:p>
        </w:tc>
        <w:tc>
          <w:tcPr>
            <w:tcW w:w="862" w:type="pct"/>
            <w:tcBorders>
              <w:top w:val="single" w:sz="12" w:space="0" w:color="auto"/>
              <w:left w:val="single" w:sz="12" w:space="0" w:color="auto"/>
              <w:bottom w:val="single" w:sz="12" w:space="0" w:color="auto"/>
              <w:right w:val="single" w:sz="12" w:space="0" w:color="auto"/>
            </w:tcBorders>
            <w:vAlign w:val="bottom"/>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(1032,00)</w:t>
            </w:r>
          </w:p>
        </w:tc>
      </w:tr>
    </w:tbl>
    <w:p w:rsidR="00DD262C" w:rsidRPr="00DD262C" w:rsidRDefault="00DD262C" w:rsidP="00DD262C">
      <w:pPr>
        <w:pStyle w:val="1"/>
        <w:numPr>
          <w:ilvl w:val="0"/>
          <w:numId w:val="0"/>
        </w:numPr>
        <w:tabs>
          <w:tab w:val="num" w:pos="3627"/>
        </w:tabs>
        <w:jc w:val="center"/>
        <w:rPr>
          <w:i/>
          <w:sz w:val="24"/>
        </w:rPr>
      </w:pPr>
      <w:bookmarkStart w:id="37" w:name="_Ref321673297"/>
      <w:bookmarkStart w:id="38" w:name="_Toc320725142"/>
      <w:bookmarkStart w:id="39" w:name="_Ref320520801"/>
      <w:bookmarkStart w:id="40" w:name="_Ref319483803"/>
      <w:bookmarkStart w:id="41" w:name="_Ref319482223"/>
      <w:bookmarkStart w:id="42" w:name="_Ref319482214"/>
      <w:bookmarkStart w:id="43" w:name="_Ref319482200"/>
      <w:bookmarkStart w:id="44" w:name="_Ref319481100"/>
      <w:bookmarkStart w:id="45" w:name="_Ref319480734"/>
      <w:bookmarkStart w:id="46" w:name="_Ref113248865"/>
      <w:bookmarkStart w:id="47" w:name="_Ref113248853"/>
      <w:bookmarkStart w:id="48" w:name="_Ref113248582"/>
      <w:bookmarkStart w:id="49" w:name="_Ref113247865"/>
      <w:bookmarkStart w:id="50" w:name="_Ref113247855"/>
      <w:bookmarkStart w:id="51" w:name="_Ref113247703"/>
      <w:bookmarkStart w:id="52" w:name="_Ref113247694"/>
      <w:bookmarkStart w:id="53" w:name="_Toc445697449"/>
      <w:bookmarkStart w:id="54" w:name="_Toc442612651"/>
      <w:r w:rsidRPr="00DD262C">
        <w:rPr>
          <w:i/>
          <w:sz w:val="26"/>
          <w:szCs w:val="26"/>
        </w:rPr>
        <w:t>6.17</w:t>
      </w:r>
      <w:r w:rsidRPr="00DD262C">
        <w:rPr>
          <w:i/>
          <w:sz w:val="24"/>
        </w:rPr>
        <w:t>.  Витрати на податок на прибуток</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DD262C">
        <w:rPr>
          <w:i/>
          <w:sz w:val="24"/>
        </w:rPr>
        <w:t xml:space="preserve"> та визначення чистого прибутку (збитку)</w:t>
      </w:r>
    </w:p>
    <w:p w:rsidR="00DD262C" w:rsidRPr="00DD262C" w:rsidRDefault="00DD262C" w:rsidP="00DD262C">
      <w:pPr>
        <w:tabs>
          <w:tab w:val="right" w:pos="8222"/>
        </w:tabs>
        <w:ind w:left="6381" w:right="425" w:firstLine="709"/>
        <w:rPr>
          <w:rFonts w:ascii="Times New Roman" w:hAnsi="Times New Roman" w:cs="Times New Roman"/>
          <w:sz w:val="18"/>
          <w:szCs w:val="18"/>
          <w:lang w:val="uk-UA"/>
        </w:rPr>
      </w:pPr>
      <w:r w:rsidRPr="00DD262C">
        <w:rPr>
          <w:rFonts w:ascii="Times New Roman" w:hAnsi="Times New Roman" w:cs="Times New Roman"/>
          <w:sz w:val="18"/>
          <w:szCs w:val="18"/>
          <w:lang w:val="uk-UA"/>
        </w:rPr>
        <w:t>Таб.6.13. (тис. грн.)</w:t>
      </w:r>
    </w:p>
    <w:tbl>
      <w:tblPr>
        <w:tblW w:w="4237"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4A0" w:firstRow="1" w:lastRow="0" w:firstColumn="1" w:lastColumn="0" w:noHBand="0" w:noVBand="1"/>
      </w:tblPr>
      <w:tblGrid>
        <w:gridCol w:w="776"/>
        <w:gridCol w:w="4176"/>
        <w:gridCol w:w="1332"/>
        <w:gridCol w:w="2156"/>
      </w:tblGrid>
      <w:tr w:rsidR="00DD262C" w:rsidRPr="00DD262C" w:rsidTr="00B80E44">
        <w:trPr>
          <w:jc w:val="center"/>
        </w:trPr>
        <w:tc>
          <w:tcPr>
            <w:tcW w:w="46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Рядок</w:t>
            </w:r>
          </w:p>
        </w:tc>
        <w:tc>
          <w:tcPr>
            <w:tcW w:w="247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Найменування статті</w:t>
            </w:r>
          </w:p>
        </w:tc>
        <w:tc>
          <w:tcPr>
            <w:tcW w:w="789"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2022 рік</w:t>
            </w:r>
          </w:p>
        </w:tc>
        <w:tc>
          <w:tcPr>
            <w:tcW w:w="1277"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2021рік</w:t>
            </w:r>
          </w:p>
        </w:tc>
      </w:tr>
      <w:tr w:rsidR="00DD262C" w:rsidRPr="00DD262C" w:rsidTr="00B80E44">
        <w:trPr>
          <w:jc w:val="center"/>
        </w:trPr>
        <w:tc>
          <w:tcPr>
            <w:tcW w:w="460"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1</w:t>
            </w:r>
          </w:p>
        </w:tc>
        <w:tc>
          <w:tcPr>
            <w:tcW w:w="2474"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ind w:right="140"/>
              <w:jc w:val="center"/>
              <w:rPr>
                <w:rFonts w:ascii="Times New Roman" w:hAnsi="Times New Roman" w:cs="Times New Roman"/>
                <w:b/>
                <w:color w:val="FFFFFF"/>
                <w:lang w:val="uk-UA"/>
              </w:rPr>
            </w:pPr>
            <w:r w:rsidRPr="00DD262C">
              <w:rPr>
                <w:rFonts w:ascii="Times New Roman" w:hAnsi="Times New Roman" w:cs="Times New Roman"/>
                <w:b/>
                <w:color w:val="FFFFFF"/>
                <w:lang w:val="uk-UA"/>
              </w:rPr>
              <w:t>2</w:t>
            </w:r>
          </w:p>
        </w:tc>
        <w:tc>
          <w:tcPr>
            <w:tcW w:w="789"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3</w:t>
            </w:r>
          </w:p>
        </w:tc>
        <w:tc>
          <w:tcPr>
            <w:tcW w:w="1277" w:type="pct"/>
            <w:tcBorders>
              <w:top w:val="single" w:sz="12" w:space="0" w:color="auto"/>
              <w:left w:val="single" w:sz="12" w:space="0" w:color="auto"/>
              <w:bottom w:val="single" w:sz="12" w:space="0" w:color="auto"/>
              <w:right w:val="single" w:sz="12" w:space="0" w:color="auto"/>
            </w:tcBorders>
            <w:shd w:val="clear" w:color="auto" w:fill="3366FF"/>
            <w:vAlign w:val="center"/>
          </w:tcPr>
          <w:p w:rsidR="00DD262C" w:rsidRPr="00DD262C" w:rsidRDefault="00DD262C" w:rsidP="00B80E44">
            <w:pPr>
              <w:jc w:val="center"/>
              <w:rPr>
                <w:rFonts w:ascii="Times New Roman" w:hAnsi="Times New Roman" w:cs="Times New Roman"/>
                <w:b/>
                <w:color w:val="FFFFFF"/>
                <w:lang w:val="uk-UA"/>
              </w:rPr>
            </w:pPr>
            <w:r w:rsidRPr="00DD262C">
              <w:rPr>
                <w:rFonts w:ascii="Times New Roman" w:hAnsi="Times New Roman" w:cs="Times New Roman"/>
                <w:b/>
                <w:color w:val="FFFFFF"/>
                <w:lang w:val="uk-UA"/>
              </w:rPr>
              <w:t>4</w:t>
            </w:r>
          </w:p>
        </w:tc>
      </w:tr>
      <w:tr w:rsidR="00DD262C" w:rsidRPr="00DD262C" w:rsidTr="00B80E44">
        <w:trPr>
          <w:trHeight w:val="467"/>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1</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b/>
                <w:color w:val="000000"/>
                <w:lang w:val="uk-UA"/>
              </w:rPr>
            </w:pPr>
            <w:r w:rsidRPr="00DD262C">
              <w:rPr>
                <w:rFonts w:ascii="Times New Roman" w:hAnsi="Times New Roman" w:cs="Times New Roman"/>
                <w:b/>
                <w:color w:val="000000"/>
                <w:lang w:val="uk-UA"/>
              </w:rPr>
              <w:t>Прибуток (збиток)  до оподаткування</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rPr>
                <w:rFonts w:ascii="Times New Roman" w:hAnsi="Times New Roman" w:cs="Times New Roman"/>
                <w:color w:val="000000"/>
                <w:lang w:val="uk-UA"/>
              </w:rPr>
            </w:pPr>
            <w:r w:rsidRPr="00DD262C">
              <w:rPr>
                <w:rFonts w:ascii="Times New Roman" w:hAnsi="Times New Roman" w:cs="Times New Roman"/>
                <w:color w:val="000000"/>
                <w:lang w:val="uk-UA"/>
              </w:rPr>
              <w:t xml:space="preserve">   1 085,0</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684,0</w:t>
            </w:r>
          </w:p>
        </w:tc>
      </w:tr>
      <w:tr w:rsidR="00DD262C" w:rsidRPr="00DD262C" w:rsidTr="00B80E44">
        <w:trPr>
          <w:trHeight w:val="503"/>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2</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Поточний податок на прибуток </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(48,0)</w:t>
            </w:r>
          </w:p>
        </w:tc>
      </w:tr>
      <w:tr w:rsidR="00DD262C" w:rsidRPr="00DD262C" w:rsidTr="00B80E44">
        <w:trPr>
          <w:trHeight w:val="403"/>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зменшення (збільшення) відстрочених податкових активів</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trHeight w:val="337"/>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rPr>
                <w:rFonts w:ascii="Times New Roman" w:hAnsi="Times New Roman" w:cs="Times New Roman"/>
                <w:lang w:val="uk-UA"/>
              </w:rPr>
            </w:pPr>
            <w:r w:rsidRPr="00DD262C">
              <w:rPr>
                <w:rFonts w:ascii="Times New Roman" w:hAnsi="Times New Roman" w:cs="Times New Roman"/>
                <w:lang w:val="uk-UA"/>
              </w:rPr>
              <w:t>(збільшення) зменшення відстрочених податкових зобов’язань</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w:t>
            </w:r>
          </w:p>
        </w:tc>
      </w:tr>
      <w:tr w:rsidR="00DD262C" w:rsidRPr="00DD262C" w:rsidTr="00B80E44">
        <w:trPr>
          <w:trHeight w:val="361"/>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5</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color w:val="000000"/>
                <w:lang w:val="uk-UA"/>
              </w:rPr>
            </w:pPr>
            <w:r w:rsidRPr="00DD262C">
              <w:rPr>
                <w:rFonts w:ascii="Times New Roman" w:hAnsi="Times New Roman" w:cs="Times New Roman"/>
                <w:color w:val="000000"/>
                <w:lang w:val="uk-UA"/>
              </w:rPr>
              <w:t xml:space="preserve"> </w:t>
            </w:r>
            <w:r w:rsidRPr="00DD262C">
              <w:rPr>
                <w:rFonts w:ascii="Times New Roman" w:hAnsi="Times New Roman" w:cs="Times New Roman"/>
                <w:b/>
                <w:lang w:val="uk-UA"/>
              </w:rPr>
              <w:t>Усього витрати на податок  на прибуток</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color w:val="000000"/>
                <w:lang w:val="uk-UA"/>
              </w:rPr>
            </w:pPr>
            <w:r w:rsidRPr="00DD262C">
              <w:rPr>
                <w:rFonts w:ascii="Times New Roman" w:hAnsi="Times New Roman" w:cs="Times New Roman"/>
                <w:color w:val="000000"/>
                <w:lang w:val="uk-UA"/>
              </w:rPr>
              <w:t>(48,0)</w:t>
            </w:r>
          </w:p>
        </w:tc>
      </w:tr>
      <w:tr w:rsidR="00DD262C" w:rsidRPr="00DD262C" w:rsidTr="00B80E44">
        <w:trPr>
          <w:trHeight w:val="309"/>
          <w:jc w:val="center"/>
        </w:trPr>
        <w:tc>
          <w:tcPr>
            <w:tcW w:w="460"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6</w:t>
            </w:r>
          </w:p>
        </w:tc>
        <w:tc>
          <w:tcPr>
            <w:tcW w:w="2474"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ind w:right="140"/>
              <w:rPr>
                <w:rFonts w:ascii="Times New Roman" w:hAnsi="Times New Roman" w:cs="Times New Roman"/>
                <w:b/>
                <w:color w:val="000000"/>
                <w:lang w:val="uk-UA"/>
              </w:rPr>
            </w:pPr>
            <w:r w:rsidRPr="00DD262C">
              <w:rPr>
                <w:rFonts w:ascii="Times New Roman" w:hAnsi="Times New Roman" w:cs="Times New Roman"/>
                <w:b/>
                <w:color w:val="000000"/>
                <w:lang w:val="uk-UA"/>
              </w:rPr>
              <w:t>Прибуток (збиток) поточного року</w:t>
            </w:r>
          </w:p>
        </w:tc>
        <w:tc>
          <w:tcPr>
            <w:tcW w:w="789" w:type="pct"/>
            <w:tcBorders>
              <w:top w:val="single" w:sz="12" w:space="0" w:color="auto"/>
              <w:left w:val="single" w:sz="12" w:space="0" w:color="auto"/>
              <w:bottom w:val="single" w:sz="12" w:space="0" w:color="auto"/>
              <w:right w:val="single" w:sz="12" w:space="0" w:color="auto"/>
            </w:tcBorders>
            <w:noWrap/>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36,0</w:t>
            </w:r>
          </w:p>
        </w:tc>
        <w:tc>
          <w:tcPr>
            <w:tcW w:w="1277" w:type="pct"/>
            <w:tcBorders>
              <w:top w:val="single" w:sz="12" w:space="0" w:color="auto"/>
              <w:left w:val="single" w:sz="12" w:space="0" w:color="auto"/>
              <w:bottom w:val="single" w:sz="12" w:space="0" w:color="auto"/>
              <w:right w:val="single" w:sz="12" w:space="0" w:color="auto"/>
            </w:tcBorders>
            <w:vAlign w:val="center"/>
          </w:tcPr>
          <w:p w:rsidR="00DD262C" w:rsidRPr="00DD262C" w:rsidRDefault="00DD262C" w:rsidP="00B80E44">
            <w:pPr>
              <w:jc w:val="center"/>
              <w:rPr>
                <w:rFonts w:ascii="Times New Roman" w:hAnsi="Times New Roman" w:cs="Times New Roman"/>
                <w:b/>
                <w:color w:val="000000"/>
                <w:lang w:val="uk-UA"/>
              </w:rPr>
            </w:pPr>
            <w:r w:rsidRPr="00DD262C">
              <w:rPr>
                <w:rFonts w:ascii="Times New Roman" w:hAnsi="Times New Roman" w:cs="Times New Roman"/>
                <w:b/>
                <w:color w:val="000000"/>
                <w:lang w:val="uk-UA"/>
              </w:rPr>
              <w:t>48,0</w:t>
            </w:r>
          </w:p>
        </w:tc>
      </w:tr>
    </w:tbl>
    <w:p w:rsidR="00DD262C" w:rsidRPr="00DD262C" w:rsidRDefault="00DD262C" w:rsidP="00DD262C">
      <w:pPr>
        <w:pStyle w:val="ABC-paragrahinNotes"/>
        <w:spacing w:after="0"/>
        <w:ind w:firstLine="540"/>
        <w:rPr>
          <w:rFonts w:ascii="Times New Roman" w:hAnsi="Times New Roman"/>
          <w:lang w:val="uk-UA"/>
        </w:rPr>
      </w:pPr>
      <w:r w:rsidRPr="00DD262C">
        <w:rPr>
          <w:rFonts w:ascii="Times New Roman" w:hAnsi="Times New Roman"/>
          <w:lang w:val="uk-UA"/>
        </w:rPr>
        <w:t>* при визначенні відстрочених податкових активів та зобов’язань,  суми податку на прибуток було визначено за наступними ставками:</w:t>
      </w:r>
    </w:p>
    <w:p w:rsidR="00DD262C" w:rsidRPr="00DD262C" w:rsidRDefault="00DD262C" w:rsidP="00DD262C">
      <w:pPr>
        <w:pStyle w:val="ABC-paragrahinNotes"/>
        <w:numPr>
          <w:ilvl w:val="0"/>
          <w:numId w:val="2"/>
        </w:numPr>
        <w:spacing w:after="0"/>
        <w:rPr>
          <w:rFonts w:ascii="Times New Roman" w:hAnsi="Times New Roman"/>
          <w:lang w:val="uk-UA"/>
        </w:rPr>
      </w:pPr>
      <w:r w:rsidRPr="00DD262C">
        <w:rPr>
          <w:rFonts w:ascii="Times New Roman" w:hAnsi="Times New Roman"/>
          <w:lang w:val="uk-UA"/>
        </w:rPr>
        <w:t xml:space="preserve">При здійсненні страхової діяльності за ставкою  в розмірі - 3% </w:t>
      </w:r>
    </w:p>
    <w:p w:rsidR="00DD262C" w:rsidRPr="00DD262C" w:rsidRDefault="00DD262C" w:rsidP="00DD262C">
      <w:pPr>
        <w:pStyle w:val="ABC-paragrahinNotes"/>
        <w:numPr>
          <w:ilvl w:val="0"/>
          <w:numId w:val="2"/>
        </w:numPr>
        <w:spacing w:after="0"/>
        <w:rPr>
          <w:rFonts w:ascii="Times New Roman" w:hAnsi="Times New Roman"/>
          <w:lang w:val="uk-UA"/>
        </w:rPr>
      </w:pPr>
      <w:r w:rsidRPr="00DD262C">
        <w:rPr>
          <w:rFonts w:ascii="Times New Roman" w:hAnsi="Times New Roman"/>
          <w:lang w:val="uk-UA"/>
        </w:rPr>
        <w:t>За договорами добровільного медичного страхування  -  0%;</w:t>
      </w:r>
    </w:p>
    <w:p w:rsidR="00DD262C" w:rsidRPr="00DD262C" w:rsidRDefault="00DD262C" w:rsidP="00DD262C">
      <w:pPr>
        <w:pStyle w:val="ABC-paragrahinNotes"/>
        <w:numPr>
          <w:ilvl w:val="0"/>
          <w:numId w:val="2"/>
        </w:numPr>
        <w:spacing w:after="0"/>
        <w:rPr>
          <w:rFonts w:ascii="Times New Roman" w:hAnsi="Times New Roman"/>
          <w:lang w:val="uk-UA"/>
        </w:rPr>
      </w:pPr>
      <w:r w:rsidRPr="00DD262C">
        <w:rPr>
          <w:rFonts w:ascii="Times New Roman" w:hAnsi="Times New Roman"/>
          <w:lang w:val="uk-UA"/>
        </w:rPr>
        <w:t>Податок на прибуток, за загальною ставкою в розмірі – 18%;</w:t>
      </w:r>
    </w:p>
    <w:p w:rsidR="00DD262C" w:rsidRPr="00DD262C" w:rsidRDefault="00DD262C" w:rsidP="00DD262C">
      <w:pPr>
        <w:pStyle w:val="ABC-paragrahinNotes"/>
        <w:spacing w:after="0"/>
        <w:ind w:left="720"/>
        <w:rPr>
          <w:rFonts w:ascii="Times New Roman" w:hAnsi="Times New Roman"/>
          <w:lang w:val="uk-UA"/>
        </w:rPr>
      </w:pPr>
    </w:p>
    <w:p w:rsidR="00DD262C" w:rsidRPr="00DD262C" w:rsidRDefault="00DD262C" w:rsidP="00DD262C">
      <w:pPr>
        <w:pStyle w:val="ABC-paragrahinNotes"/>
        <w:spacing w:after="0"/>
        <w:ind w:left="360"/>
        <w:rPr>
          <w:rFonts w:ascii="Times New Roman" w:hAnsi="Times New Roman"/>
          <w:lang w:val="uk-UA"/>
        </w:rPr>
      </w:pPr>
    </w:p>
    <w:p w:rsidR="00DD262C" w:rsidRPr="00DD262C" w:rsidRDefault="00DD262C" w:rsidP="00DD262C">
      <w:pPr>
        <w:ind w:firstLine="360"/>
        <w:jc w:val="both"/>
        <w:rPr>
          <w:rFonts w:ascii="Times New Roman" w:hAnsi="Times New Roman" w:cs="Times New Roman"/>
          <w:b/>
          <w:i/>
          <w:lang w:val="uk-UA"/>
        </w:rPr>
      </w:pPr>
      <w:r w:rsidRPr="00DD262C">
        <w:rPr>
          <w:rFonts w:ascii="Times New Roman" w:hAnsi="Times New Roman" w:cs="Times New Roman"/>
          <w:b/>
          <w:i/>
          <w:lang w:val="uk-UA"/>
        </w:rPr>
        <w:t xml:space="preserve">  6.18. Операційні сегменти.</w:t>
      </w:r>
    </w:p>
    <w:p w:rsidR="00DD262C" w:rsidRPr="00DD262C" w:rsidRDefault="00DD262C" w:rsidP="00DD262C">
      <w:pPr>
        <w:ind w:firstLine="360"/>
        <w:jc w:val="both"/>
        <w:rPr>
          <w:rFonts w:ascii="Times New Roman" w:hAnsi="Times New Roman" w:cs="Times New Roman"/>
          <w:b/>
          <w:i/>
          <w:lang w:val="uk-UA"/>
        </w:rPr>
      </w:pPr>
    </w:p>
    <w:p w:rsidR="00DD262C" w:rsidRPr="00DD262C" w:rsidRDefault="00DD262C" w:rsidP="00DD262C">
      <w:pPr>
        <w:ind w:firstLine="360"/>
        <w:jc w:val="both"/>
        <w:rPr>
          <w:rFonts w:ascii="Times New Roman" w:hAnsi="Times New Roman" w:cs="Times New Roman"/>
          <w:lang w:val="uk-UA"/>
        </w:rPr>
      </w:pPr>
      <w:r w:rsidRPr="00DD262C">
        <w:rPr>
          <w:rFonts w:ascii="Times New Roman" w:hAnsi="Times New Roman" w:cs="Times New Roman"/>
          <w:i/>
          <w:lang w:val="uk-UA"/>
        </w:rPr>
        <w:t xml:space="preserve">  </w:t>
      </w:r>
      <w:r w:rsidRPr="00DD262C">
        <w:rPr>
          <w:rFonts w:ascii="Times New Roman" w:hAnsi="Times New Roman" w:cs="Times New Roman"/>
          <w:lang w:val="uk-UA"/>
        </w:rPr>
        <w:t xml:space="preserve">За кількісною ознакою операційними сегментами є географічні сегменти, а також сегменти по видах страхових продуктів. Більш докладну інформацію про доходи та витрати в розрізі сегментів Компанії розкрито  в IR400002 "Показники діяльності з видів добровільного страхування, інших, ніж страхування життя", якій, в складі страхової звітності надається в НБУ.  </w:t>
      </w:r>
    </w:p>
    <w:p w:rsidR="00DD262C" w:rsidRPr="00DD262C" w:rsidRDefault="00DD262C" w:rsidP="00DD262C">
      <w:pPr>
        <w:rPr>
          <w:rFonts w:ascii="Times New Roman" w:hAnsi="Times New Roman" w:cs="Times New Roman"/>
          <w:lang w:val="uk-UA"/>
        </w:rPr>
      </w:pP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b/>
          <w:i/>
          <w:lang w:val="uk-UA"/>
        </w:rPr>
        <w:t xml:space="preserve">6.19. Цілі та політики управління фінансовими ризиками. </w:t>
      </w:r>
      <w:r w:rsidRPr="00DD262C">
        <w:rPr>
          <w:rFonts w:ascii="Times New Roman" w:hAnsi="Times New Roman" w:cs="Times New Roman"/>
          <w:lang w:val="uk-UA"/>
        </w:rPr>
        <w:t xml:space="preserve"> </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 xml:space="preserve">Основні фінансові зобов'язання Компанії, включають страхові зобов'язання, позики, кредиторську заборгованість за товари, роботи, послуги та іншу поточну кредиторську заборгованість. Основною ціллю даних фінансових зобов'язань є фінансові операції Компанії. У Компанії є дебіторська заборгованість за товари, роботи, послуги, інша дебіторська заборгованість, грошові кошти, депозити, довгострокові фінансові інвестиції, які виникають безпосередньо в ході операційної діяльності. </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 xml:space="preserve">Діяльність із управління ризиками є для Страховика систематичною, інтегрованою в стратегічне та оперативне управління на всіх рівнях, що охоплює всі підрозділи і співробітників під час виконання ними своїх функцій у рамках будь-яких бізнес-процесів. Система управління ризиками страховика – ПрАТ «СК «САТІС» побудована і функціонує у відповідності до «Вимог до організації і функціонування системи управління ризиками у страховика», затверджених розпорядженням Нацкомфінпослуг від 04.02.2014р. № 295 і зареєстрованих в Міністерстві юстиції України 03.03.2014р. за № </w:t>
      </w:r>
      <w:r w:rsidRPr="00DD262C">
        <w:rPr>
          <w:rStyle w:val="rvts9"/>
          <w:rFonts w:ascii="Times New Roman" w:hAnsi="Times New Roman" w:cs="Times New Roman"/>
          <w:bCs/>
          <w:bdr w:val="none" w:sz="0" w:space="0" w:color="auto" w:frame="1"/>
          <w:lang w:val="uk-UA"/>
        </w:rPr>
        <w:t>344/25121.</w:t>
      </w:r>
      <w:r w:rsidRPr="00DD262C">
        <w:rPr>
          <w:rFonts w:ascii="Times New Roman" w:hAnsi="Times New Roman" w:cs="Times New Roman"/>
          <w:lang w:val="uk-UA"/>
        </w:rPr>
        <w:t xml:space="preserve"> </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ПрАТ СК «САТІС» схильне  до страхового ризику, ринкового ризику, кредитного ризику та ризику ліквідності, валютного ризику, податкового тощо.</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Вище керівництво Компанії контролює процес управління даними ризиками. Спеціалісти з фінансових ризиків надають консультації вищому керівництву відносно фінансових ризиків та відповідної концепції управління фінансовими ризиками та допомагають йому бути впевненими в тому, що діяльність Компанії, здійснюється згідно відповідної політики Компанії.  Всі операції з фінансовими інструментами з метою управління ризиками здійснюються спеціалістами з відповідною кваліфікацією та досвідом роботи. Відповідно до своєї політики Компанія не здійснює торгівлю фінансовими інструментами в спекулятивних цілях.</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Правління здійснює аналіз та затверджує політику управління вказаними ризиками, інформація про яку наводиться нижче.</w:t>
      </w:r>
    </w:p>
    <w:p w:rsidR="00DD262C" w:rsidRPr="00DD262C" w:rsidRDefault="00DD262C" w:rsidP="00DD262C">
      <w:pPr>
        <w:jc w:val="both"/>
        <w:rPr>
          <w:rFonts w:ascii="Times New Roman" w:hAnsi="Times New Roman" w:cs="Times New Roman"/>
          <w:b/>
          <w:i/>
          <w:lang w:val="uk-UA"/>
        </w:rPr>
      </w:pPr>
      <w:r w:rsidRPr="00DD262C">
        <w:rPr>
          <w:rFonts w:ascii="Times New Roman" w:hAnsi="Times New Roman" w:cs="Times New Roman"/>
          <w:b/>
          <w:i/>
          <w:lang w:val="uk-UA"/>
        </w:rPr>
        <w:t>Страховий ризик</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 xml:space="preserve">Визначення страхового ризику посилається на ризик, який страховик приймає від власника страхового поліса. Іншими словами, страховий ризик – це ризик, який існує від початку та передається від власника страхового поліса страховикові. Отже, новий ризик, створений контрактом, не є страховим ризиком. </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Для кращого розуміння сутності ризиків Компанія досліджує їх класифікацію на основі істотних класифікаційних ознак:</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1. Випадковість - невідомість щодо часу і величини збитку, а також незалежність страхового збитку від волі і поведінки страхувальника.</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2. Можливість оцінки розподілу збитків - можливість визначити очікувану міру збитку і міру його вірогідності (без наявності цієї інформації неможливо розрахувати величину страхової премії).</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3. Однозначність розподілу збитків - точність і однозначність визначення в договорі страхування об'єктів страхування і збитків. Ця умова є особливо важливою для визначення страхового відшкодування, яке потрібно сплатити.</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4. Незалежність застрахованих розподілів збитків один від одного – уникнення страховиком при укладанні договору страхування концентрації ризику.</w:t>
      </w:r>
    </w:p>
    <w:p w:rsidR="00DD262C" w:rsidRPr="00DD262C" w:rsidRDefault="00DD262C" w:rsidP="00DD262C">
      <w:pPr>
        <w:ind w:firstLine="709"/>
        <w:jc w:val="both"/>
        <w:rPr>
          <w:rFonts w:ascii="Times New Roman" w:hAnsi="Times New Roman" w:cs="Times New Roman"/>
          <w:lang w:val="uk-UA"/>
        </w:rPr>
      </w:pPr>
      <w:r w:rsidRPr="00DD262C">
        <w:rPr>
          <w:rFonts w:ascii="Times New Roman" w:hAnsi="Times New Roman" w:cs="Times New Roman"/>
          <w:lang w:val="uk-UA"/>
        </w:rPr>
        <w:t>Керівництво Товариства визнає, що діяльність Товариства пов’язана з ризиками і вартість чистих активів у нестабільному ринковому середовищі може суттєво змінитись внаслідок впливу суб’єктивних чинників та об’єктивних чинників, вірогідність і напрямок впливу яких заздалегідь точно передбачити неможливо. До таких ризиків віднесено кредитний ризик, ринковий ризик та ризик ліквідності. Ринковий ризик включає валютний ризик, відсотковий ризик та інший ціновий ризик. Управління ризиками керівництвом Товариства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DD262C" w:rsidRPr="00DD262C" w:rsidRDefault="00DD262C" w:rsidP="00DD262C">
      <w:pPr>
        <w:ind w:firstLine="540"/>
        <w:rPr>
          <w:rFonts w:ascii="Times New Roman" w:hAnsi="Times New Roman" w:cs="Times New Roman"/>
          <w:i/>
          <w:lang w:val="uk-UA"/>
        </w:rPr>
      </w:pPr>
      <w:r w:rsidRPr="00DD262C">
        <w:rPr>
          <w:rFonts w:ascii="Times New Roman" w:hAnsi="Times New Roman" w:cs="Times New Roman"/>
          <w:i/>
          <w:lang w:val="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w:t>
      </w:r>
      <w:bookmarkStart w:id="55" w:name="_Toc320725150"/>
      <w:bookmarkStart w:id="56" w:name="_Ref113190043"/>
      <w:bookmarkStart w:id="57" w:name="_Ref113189462"/>
      <w:bookmarkStart w:id="58" w:name="_Ref113188193"/>
      <w:bookmarkStart w:id="59" w:name="_Ref113187986"/>
      <w:bookmarkStart w:id="60" w:name="_Toc445697456"/>
      <w:bookmarkStart w:id="61" w:name="_Toc442612659"/>
      <w:bookmarkStart w:id="62" w:name="_Toc414363623"/>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i/>
          <w:u w:val="single"/>
          <w:lang w:val="uk-UA"/>
        </w:rPr>
        <w:t>Кредитний ризик</w:t>
      </w:r>
      <w:r w:rsidRPr="00DD262C">
        <w:rPr>
          <w:rFonts w:ascii="Times New Roman" w:hAnsi="Times New Roman" w:cs="Times New Roman"/>
          <w:b/>
          <w:lang w:val="uk-UA"/>
        </w:rPr>
        <w:t xml:space="preserve"> </w:t>
      </w:r>
      <w:r w:rsidRPr="00DD262C">
        <w:rPr>
          <w:rFonts w:ascii="Times New Roman" w:hAnsi="Times New Roman" w:cs="Times New Roman"/>
          <w:lang w:val="uk-UA"/>
        </w:rPr>
        <w:t>притаманний таким фінансовим інструментам, як поточні та депозитні рахунки в банках, облігації та дебіторська заборгованість.</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 xml:space="preserve">         Основним методом оцінки кредитних ризиків керівництвом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Товариство використовує наступні методи управління кредитними ризиками:</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 ліміти щодо боргових зобов’язань за класами фінансових інструментів;</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•ліміти щодо боргових зобов’язань перед одним контрагентом (або асоційованою групою);</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•ліміти щодо вкладень у фінансові інструменти в розрізі кредитних рейтингів за Національною рейтинговою шкалою;</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•ліміти щодо розміщення депозитів у банках з різними рейтингами та випадки дефолту та неповернення депозитів протягом останніх п’яти років.</w:t>
      </w:r>
    </w:p>
    <w:p w:rsidR="00DD262C" w:rsidRPr="00DD262C" w:rsidRDefault="00DD262C" w:rsidP="00DD262C">
      <w:pPr>
        <w:ind w:firstLine="540"/>
        <w:jc w:val="both"/>
        <w:rPr>
          <w:rFonts w:ascii="Times New Roman" w:hAnsi="Times New Roman" w:cs="Times New Roman"/>
          <w:i/>
          <w:lang w:val="uk-UA"/>
        </w:rPr>
      </w:pPr>
      <w:r w:rsidRPr="00DD262C">
        <w:rPr>
          <w:rFonts w:ascii="Times New Roman" w:hAnsi="Times New Roman" w:cs="Times New Roman"/>
          <w:i/>
          <w:u w:val="single"/>
          <w:lang w:val="uk-UA"/>
        </w:rPr>
        <w:t>Ринковий ризик</w:t>
      </w:r>
      <w:r w:rsidRPr="00DD262C">
        <w:rPr>
          <w:rFonts w:ascii="Times New Roman" w:hAnsi="Times New Roman" w:cs="Times New Roman"/>
          <w:lang w:val="uk-UA"/>
        </w:rPr>
        <w:t xml:space="preserve"> – </w:t>
      </w:r>
      <w:r w:rsidRPr="00DD262C">
        <w:rPr>
          <w:rFonts w:ascii="Times New Roman" w:hAnsi="Times New Roman" w:cs="Times New Roman"/>
          <w:i/>
          <w:lang w:val="uk-UA"/>
        </w:rPr>
        <w:t>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ризик та відсотковий ризик. Ринковий ризик виникає у зв’язку з ризиками збитків, зумовлених коливаннями цін на акції, відсоткових ставок та валютних курсів. Товариство наражатиметься на ринкові ризики у зв’язку з інвестиціями в акції, облігації та інші фінансові інструменти.</w:t>
      </w:r>
    </w:p>
    <w:p w:rsidR="00DD262C" w:rsidRPr="00DD262C" w:rsidRDefault="00DD262C" w:rsidP="00DD262C">
      <w:pPr>
        <w:ind w:firstLine="540"/>
        <w:jc w:val="both"/>
        <w:rPr>
          <w:rFonts w:ascii="Times New Roman" w:hAnsi="Times New Roman" w:cs="Times New Roman"/>
          <w:i/>
          <w:lang w:val="uk-UA"/>
        </w:rPr>
      </w:pPr>
      <w:r w:rsidRPr="00DD262C">
        <w:rPr>
          <w:rFonts w:ascii="Times New Roman" w:hAnsi="Times New Roman" w:cs="Times New Roman"/>
          <w:i/>
          <w:u w:val="single"/>
          <w:lang w:val="uk-UA"/>
        </w:rPr>
        <w:t>Інший ціновий ризик</w:t>
      </w:r>
      <w:r w:rsidRPr="00DD262C">
        <w:rPr>
          <w:rFonts w:ascii="Times New Roman" w:hAnsi="Times New Roman" w:cs="Times New Roman"/>
          <w:lang w:val="uk-UA"/>
        </w:rPr>
        <w:t xml:space="preserve"> </w:t>
      </w:r>
      <w:r w:rsidRPr="00DD262C">
        <w:rPr>
          <w:rFonts w:ascii="Times New Roman" w:hAnsi="Times New Roman" w:cs="Times New Roman"/>
          <w:i/>
          <w:lang w:val="uk-UA"/>
        </w:rPr>
        <w:t>– це ризик того, що справедлива вартість або майбутні грошові потоки від фінансового інструмента коливатимуться внаслідок змін ринкових цін (окрім тих, що виникають внаслідок відсоткового ризику чи валютного ризику), незалежно від того, чи спричинені вони чинниками, характерними для окремого фінансового інструмента або його емітента, чи чинниками, що впливають на всі подібні фінансові інструменти, з якими здійснюються операції на ринку.</w:t>
      </w:r>
    </w:p>
    <w:p w:rsidR="00DD262C" w:rsidRPr="00DD262C" w:rsidRDefault="00DD262C" w:rsidP="00DD262C">
      <w:pPr>
        <w:ind w:firstLine="540"/>
        <w:jc w:val="both"/>
        <w:rPr>
          <w:rFonts w:ascii="Times New Roman" w:hAnsi="Times New Roman" w:cs="Times New Roman"/>
          <w:lang w:val="uk-UA"/>
        </w:rPr>
      </w:pPr>
      <w:r w:rsidRPr="00DD262C">
        <w:rPr>
          <w:rFonts w:ascii="Times New Roman" w:hAnsi="Times New Roman" w:cs="Times New Roman"/>
          <w:lang w:val="uk-UA"/>
        </w:rPr>
        <w:t xml:space="preserve">         Основним методом оцінки цінового ризику є аналіз чутливості. Серед методів пом’якшення цінового ризику Товариство використовує диверсифікацію активів та дотримання лімітів на вкладення в акції та інші фінансові інструменти з нефіксованим прибутком.</w:t>
      </w:r>
    </w:p>
    <w:p w:rsidR="00DD262C" w:rsidRPr="00DD262C" w:rsidRDefault="00DD262C" w:rsidP="00DD262C">
      <w:pPr>
        <w:pStyle w:val="1"/>
        <w:numPr>
          <w:ilvl w:val="0"/>
          <w:numId w:val="0"/>
        </w:numPr>
        <w:spacing w:before="0" w:after="0"/>
        <w:jc w:val="both"/>
        <w:rPr>
          <w:b w:val="0"/>
          <w:kern w:val="0"/>
          <w:sz w:val="24"/>
        </w:rPr>
      </w:pPr>
      <w:r w:rsidRPr="00DD262C">
        <w:rPr>
          <w:b w:val="0"/>
          <w:kern w:val="0"/>
          <w:sz w:val="24"/>
        </w:rPr>
        <w:t xml:space="preserve">          За інвестиційними активами, оціненими за 3-м рівнем ієрархії (примітка 6.2), аналіз чутливості до іншого цінового ризику Товариство не здійснювало відповідно до п. 27 МСФЗ 7 «Фінансові інструменти: розкриття інформації».</w:t>
      </w:r>
    </w:p>
    <w:p w:rsidR="00DD262C" w:rsidRPr="00DD262C" w:rsidRDefault="00DD262C" w:rsidP="00DD262C">
      <w:pPr>
        <w:pStyle w:val="1"/>
        <w:numPr>
          <w:ilvl w:val="0"/>
          <w:numId w:val="0"/>
        </w:numPr>
        <w:tabs>
          <w:tab w:val="num" w:pos="3627"/>
        </w:tabs>
        <w:spacing w:before="0" w:after="0"/>
        <w:jc w:val="both"/>
        <w:rPr>
          <w:b w:val="0"/>
          <w:i/>
          <w:sz w:val="24"/>
        </w:rPr>
      </w:pPr>
      <w:r w:rsidRPr="00DD262C">
        <w:rPr>
          <w:b w:val="0"/>
          <w:i/>
          <w:kern w:val="0"/>
          <w:sz w:val="24"/>
        </w:rPr>
        <w:t xml:space="preserve">          </w:t>
      </w:r>
      <w:r w:rsidRPr="00DD262C">
        <w:rPr>
          <w:b w:val="0"/>
          <w:i/>
          <w:sz w:val="24"/>
          <w:u w:val="single"/>
        </w:rPr>
        <w:t>Валютний ризик</w:t>
      </w:r>
      <w:r w:rsidRPr="00DD262C">
        <w:rPr>
          <w:b w:val="0"/>
          <w:i/>
          <w:sz w:val="24"/>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Оскільки Товариство не  мало суттєвих активів в іноземній валюті, то активи не були чутливими до валютного ризику і потенційні зміни не вимірювались.</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i/>
          <w:lang w:val="uk-UA"/>
        </w:rPr>
      </w:pPr>
      <w:r w:rsidRPr="00DD262C">
        <w:rPr>
          <w:rFonts w:ascii="Times New Roman" w:hAnsi="Times New Roman" w:cs="Times New Roman"/>
          <w:i/>
          <w:u w:val="single"/>
          <w:lang w:val="uk-UA"/>
        </w:rPr>
        <w:t>Відсотковий ризик</w:t>
      </w:r>
      <w:r w:rsidRPr="00DD262C">
        <w:rPr>
          <w:rFonts w:ascii="Times New Roman" w:hAnsi="Times New Roman" w:cs="Times New Roman"/>
          <w:lang w:val="uk-UA"/>
        </w:rPr>
        <w:t xml:space="preserve"> – </w:t>
      </w:r>
      <w:r w:rsidRPr="00DD262C">
        <w:rPr>
          <w:rFonts w:ascii="Times New Roman" w:hAnsi="Times New Roman" w:cs="Times New Roman"/>
          <w:i/>
          <w:lang w:val="uk-UA"/>
        </w:rPr>
        <w:t>це ризик того, що справедлива вартість або майбутні грошові потоки від фінансового інструмента коливатимуться внаслідок змін ринкових відсоткових ставок. Керівництво Товариства усвідомлює, що відсоткові ставки можуть змінюватись і це впливатиме як на доходи Товариства, так і на справедливу вартість чистих активів.</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Усвідомлюючи значні ризики, пов’язані з коливаннями відсоткових ставок у високоінфляційному  середовищі, яке є властивим для фінансової системи України, керівництво Товариства контролює частку активів, розміщених у боргових зобов’язаннях у національній валюті з фіксованою відсотковою ставкою.</w:t>
      </w:r>
    </w:p>
    <w:p w:rsidR="00DD262C" w:rsidRPr="00DD262C" w:rsidRDefault="00DD262C" w:rsidP="00DD262C">
      <w:pPr>
        <w:shd w:val="clear" w:color="auto" w:fill="FFFFFF"/>
        <w:autoSpaceDE w:val="0"/>
        <w:autoSpaceDN w:val="0"/>
        <w:adjustRightInd w:val="0"/>
        <w:spacing w:line="360" w:lineRule="auto"/>
        <w:ind w:firstLine="567"/>
        <w:jc w:val="both"/>
        <w:rPr>
          <w:rFonts w:ascii="Times New Roman" w:hAnsi="Times New Roman" w:cs="Times New Roman"/>
          <w:lang w:val="uk-UA"/>
        </w:rPr>
      </w:pPr>
      <w:r w:rsidRPr="00DD262C">
        <w:rPr>
          <w:rFonts w:ascii="Times New Roman" w:hAnsi="Times New Roman" w:cs="Times New Roman"/>
          <w:lang w:val="uk-UA"/>
        </w:rPr>
        <w:t>Активи, які наражаються на відсоткові ризики:</w:t>
      </w:r>
    </w:p>
    <w:p w:rsidR="00DD262C" w:rsidRPr="00DD262C" w:rsidRDefault="00DD262C" w:rsidP="00DD262C">
      <w:pPr>
        <w:shd w:val="clear" w:color="auto" w:fill="FFFFFF"/>
        <w:autoSpaceDE w:val="0"/>
        <w:autoSpaceDN w:val="0"/>
        <w:adjustRightInd w:val="0"/>
        <w:spacing w:line="360" w:lineRule="auto"/>
        <w:ind w:left="6381" w:firstLine="709"/>
        <w:jc w:val="both"/>
        <w:rPr>
          <w:rFonts w:ascii="Times New Roman" w:hAnsi="Times New Roman" w:cs="Times New Roman"/>
          <w:sz w:val="18"/>
          <w:szCs w:val="18"/>
          <w:lang w:val="uk-UA"/>
        </w:rPr>
      </w:pPr>
      <w:r w:rsidRPr="00DD262C">
        <w:rPr>
          <w:rFonts w:ascii="Times New Roman" w:hAnsi="Times New Roman" w:cs="Times New Roman"/>
          <w:sz w:val="18"/>
          <w:szCs w:val="18"/>
          <w:lang w:val="uk-UA"/>
        </w:rPr>
        <w:t>Таб.6.13.1.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73"/>
        <w:gridCol w:w="2022"/>
        <w:gridCol w:w="2126"/>
      </w:tblGrid>
      <w:tr w:rsidR="00DD262C" w:rsidRPr="00DD262C" w:rsidTr="00B80E44">
        <w:trPr>
          <w:trHeight w:val="398"/>
          <w:jc w:val="center"/>
        </w:trPr>
        <w:tc>
          <w:tcPr>
            <w:tcW w:w="3473" w:type="dxa"/>
            <w:shd w:val="clear" w:color="auto" w:fill="0070C0"/>
          </w:tcPr>
          <w:p w:rsidR="00DD262C" w:rsidRPr="00DD262C" w:rsidRDefault="00DD262C" w:rsidP="00B80E44">
            <w:pPr>
              <w:autoSpaceDE w:val="0"/>
              <w:autoSpaceDN w:val="0"/>
              <w:adjustRightInd w:val="0"/>
              <w:jc w:val="both"/>
              <w:rPr>
                <w:rFonts w:ascii="Times New Roman" w:hAnsi="Times New Roman" w:cs="Times New Roman"/>
                <w:color w:val="FFFFFF"/>
                <w:lang w:val="uk-UA"/>
              </w:rPr>
            </w:pPr>
            <w:r w:rsidRPr="00DD262C">
              <w:rPr>
                <w:rFonts w:ascii="Times New Roman" w:hAnsi="Times New Roman" w:cs="Times New Roman"/>
                <w:b/>
                <w:i/>
                <w:color w:val="FFFFFF"/>
                <w:lang w:val="uk-UA"/>
              </w:rPr>
              <w:t>Тип активу</w:t>
            </w:r>
          </w:p>
        </w:tc>
        <w:tc>
          <w:tcPr>
            <w:tcW w:w="2022" w:type="dxa"/>
            <w:shd w:val="clear" w:color="auto" w:fill="0070C0"/>
          </w:tcPr>
          <w:p w:rsidR="00DD262C" w:rsidRPr="00DD262C" w:rsidRDefault="00DD262C" w:rsidP="00B80E44">
            <w:pPr>
              <w:autoSpaceDE w:val="0"/>
              <w:autoSpaceDN w:val="0"/>
              <w:adjustRightInd w:val="0"/>
              <w:jc w:val="both"/>
              <w:rPr>
                <w:rFonts w:ascii="Times New Roman" w:hAnsi="Times New Roman" w:cs="Times New Roman"/>
                <w:color w:val="FFFFFF"/>
                <w:lang w:val="uk-UA"/>
              </w:rPr>
            </w:pPr>
            <w:r w:rsidRPr="00DD262C">
              <w:rPr>
                <w:rFonts w:ascii="Times New Roman" w:hAnsi="Times New Roman" w:cs="Times New Roman"/>
                <w:b/>
                <w:bCs/>
                <w:i/>
                <w:color w:val="FFFFFF"/>
                <w:lang w:val="uk-UA"/>
              </w:rPr>
              <w:t>31 грудня 2022</w:t>
            </w:r>
          </w:p>
        </w:tc>
        <w:tc>
          <w:tcPr>
            <w:tcW w:w="2126" w:type="dxa"/>
            <w:shd w:val="clear" w:color="auto" w:fill="0070C0"/>
          </w:tcPr>
          <w:p w:rsidR="00DD262C" w:rsidRPr="00DD262C" w:rsidRDefault="00DD262C" w:rsidP="00B80E44">
            <w:pPr>
              <w:autoSpaceDE w:val="0"/>
              <w:autoSpaceDN w:val="0"/>
              <w:adjustRightInd w:val="0"/>
              <w:jc w:val="both"/>
              <w:rPr>
                <w:rFonts w:ascii="Times New Roman" w:hAnsi="Times New Roman" w:cs="Times New Roman"/>
                <w:color w:val="FFFFFF"/>
                <w:lang w:val="uk-UA"/>
              </w:rPr>
            </w:pPr>
            <w:r w:rsidRPr="00DD262C">
              <w:rPr>
                <w:rFonts w:ascii="Times New Roman" w:hAnsi="Times New Roman" w:cs="Times New Roman"/>
                <w:b/>
                <w:bCs/>
                <w:i/>
                <w:color w:val="FFFFFF"/>
                <w:lang w:val="uk-UA"/>
              </w:rPr>
              <w:t>31 грудня 2021</w:t>
            </w:r>
          </w:p>
        </w:tc>
      </w:tr>
      <w:tr w:rsidR="00DD262C" w:rsidRPr="00DD262C" w:rsidTr="00B80E44">
        <w:trPr>
          <w:jc w:val="center"/>
        </w:trPr>
        <w:tc>
          <w:tcPr>
            <w:tcW w:w="3473" w:type="dxa"/>
          </w:tcPr>
          <w:p w:rsidR="00DD262C" w:rsidRPr="00DD262C" w:rsidRDefault="00DD262C" w:rsidP="00B80E44">
            <w:pPr>
              <w:autoSpaceDE w:val="0"/>
              <w:autoSpaceDN w:val="0"/>
              <w:adjustRightInd w:val="0"/>
              <w:rPr>
                <w:rFonts w:ascii="Times New Roman" w:hAnsi="Times New Roman" w:cs="Times New Roman"/>
                <w:lang w:val="uk-UA"/>
              </w:rPr>
            </w:pPr>
            <w:r w:rsidRPr="00DD262C">
              <w:rPr>
                <w:rFonts w:ascii="Times New Roman" w:hAnsi="Times New Roman" w:cs="Times New Roman"/>
                <w:lang w:val="uk-UA"/>
              </w:rPr>
              <w:t>Банківські депозити</w:t>
            </w:r>
          </w:p>
        </w:tc>
        <w:tc>
          <w:tcPr>
            <w:tcW w:w="2022" w:type="dxa"/>
          </w:tcPr>
          <w:p w:rsidR="00DD262C" w:rsidRPr="00DD262C" w:rsidRDefault="00DD262C" w:rsidP="00B80E44">
            <w:pPr>
              <w:autoSpaceDE w:val="0"/>
              <w:autoSpaceDN w:val="0"/>
              <w:adjustRightInd w:val="0"/>
              <w:jc w:val="center"/>
              <w:rPr>
                <w:rFonts w:ascii="Times New Roman" w:hAnsi="Times New Roman" w:cs="Times New Roman"/>
                <w:i/>
                <w:lang w:val="uk-UA"/>
              </w:rPr>
            </w:pPr>
            <w:r w:rsidRPr="00DD262C">
              <w:rPr>
                <w:rFonts w:ascii="Times New Roman" w:hAnsi="Times New Roman" w:cs="Times New Roman"/>
                <w:i/>
                <w:lang w:val="uk-UA"/>
              </w:rPr>
              <w:t>4067,00</w:t>
            </w:r>
          </w:p>
        </w:tc>
        <w:tc>
          <w:tcPr>
            <w:tcW w:w="2126" w:type="dxa"/>
          </w:tcPr>
          <w:p w:rsidR="00DD262C" w:rsidRPr="00DD262C" w:rsidRDefault="00DD262C" w:rsidP="00B80E44">
            <w:pPr>
              <w:autoSpaceDE w:val="0"/>
              <w:autoSpaceDN w:val="0"/>
              <w:adjustRightInd w:val="0"/>
              <w:jc w:val="center"/>
              <w:rPr>
                <w:rFonts w:ascii="Times New Roman" w:hAnsi="Times New Roman" w:cs="Times New Roman"/>
                <w:i/>
                <w:lang w:val="uk-UA"/>
              </w:rPr>
            </w:pPr>
            <w:r w:rsidRPr="00DD262C">
              <w:rPr>
                <w:rFonts w:ascii="Times New Roman" w:hAnsi="Times New Roman" w:cs="Times New Roman"/>
                <w:i/>
                <w:lang w:val="uk-UA"/>
              </w:rPr>
              <w:t>4006,00</w:t>
            </w:r>
          </w:p>
        </w:tc>
      </w:tr>
      <w:tr w:rsidR="00DD262C" w:rsidRPr="00DD262C" w:rsidTr="00B80E44">
        <w:trPr>
          <w:jc w:val="center"/>
        </w:trPr>
        <w:tc>
          <w:tcPr>
            <w:tcW w:w="3473" w:type="dxa"/>
          </w:tcPr>
          <w:p w:rsidR="00DD262C" w:rsidRPr="00DD262C" w:rsidRDefault="00DD262C" w:rsidP="00B80E44">
            <w:pPr>
              <w:autoSpaceDE w:val="0"/>
              <w:autoSpaceDN w:val="0"/>
              <w:adjustRightInd w:val="0"/>
              <w:jc w:val="center"/>
              <w:rPr>
                <w:rFonts w:ascii="Times New Roman" w:hAnsi="Times New Roman" w:cs="Times New Roman"/>
                <w:i/>
                <w:lang w:val="uk-UA"/>
              </w:rPr>
            </w:pPr>
            <w:r w:rsidRPr="00DD262C">
              <w:rPr>
                <w:rFonts w:ascii="Times New Roman" w:hAnsi="Times New Roman" w:cs="Times New Roman"/>
                <w:b/>
                <w:i/>
                <w:lang w:val="uk-UA"/>
              </w:rPr>
              <w:t>Всього</w:t>
            </w:r>
          </w:p>
        </w:tc>
        <w:tc>
          <w:tcPr>
            <w:tcW w:w="2022" w:type="dxa"/>
          </w:tcPr>
          <w:p w:rsidR="00DD262C" w:rsidRPr="00DD262C" w:rsidRDefault="00DD262C" w:rsidP="00B80E44">
            <w:pPr>
              <w:autoSpaceDE w:val="0"/>
              <w:autoSpaceDN w:val="0"/>
              <w:adjustRightInd w:val="0"/>
              <w:jc w:val="center"/>
              <w:rPr>
                <w:rFonts w:ascii="Times New Roman" w:hAnsi="Times New Roman" w:cs="Times New Roman"/>
                <w:i/>
                <w:lang w:val="uk-UA"/>
              </w:rPr>
            </w:pPr>
            <w:r w:rsidRPr="00DD262C">
              <w:rPr>
                <w:rFonts w:ascii="Times New Roman" w:hAnsi="Times New Roman" w:cs="Times New Roman"/>
                <w:b/>
                <w:i/>
                <w:lang w:val="uk-UA"/>
              </w:rPr>
              <w:t>4067,0</w:t>
            </w:r>
          </w:p>
        </w:tc>
        <w:tc>
          <w:tcPr>
            <w:tcW w:w="2126" w:type="dxa"/>
          </w:tcPr>
          <w:p w:rsidR="00DD262C" w:rsidRPr="00DD262C" w:rsidRDefault="00DD262C" w:rsidP="00B80E44">
            <w:pPr>
              <w:autoSpaceDE w:val="0"/>
              <w:autoSpaceDN w:val="0"/>
              <w:adjustRightInd w:val="0"/>
              <w:jc w:val="center"/>
              <w:rPr>
                <w:rFonts w:ascii="Times New Roman" w:hAnsi="Times New Roman" w:cs="Times New Roman"/>
                <w:i/>
                <w:lang w:val="uk-UA"/>
              </w:rPr>
            </w:pPr>
            <w:r w:rsidRPr="00DD262C">
              <w:rPr>
                <w:rFonts w:ascii="Times New Roman" w:hAnsi="Times New Roman" w:cs="Times New Roman"/>
                <w:b/>
                <w:i/>
                <w:lang w:val="uk-UA"/>
              </w:rPr>
              <w:t>4006,0</w:t>
            </w:r>
          </w:p>
        </w:tc>
      </w:tr>
    </w:tbl>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Для оцінки можливих коливань відсоткових ставок Товариство використовувало історичну волатильність відсоткових ставок за строковими депозитами (до 1 року) за останні 2 роки за оприлюдненою інформацією НБУ.</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Товариство визнає, що обґрунтовано можливим є коливання ринкових ставок на ±3,0 процентних пункти. Проведений аналіз чутливості заснований на припущенні, що всі інші параметри, зокрема валютний курс, залишатимуться незмінними, і показує можливий вплив зміни відсоткових ставок на 3,0 процентних пункти на вартість чистих активів Товариства.</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Можлива зміна справедливої вартості боргових фінансових інструментів з фіксованою відсотковою ставкою розрахована як різниця між дисконтованими грошовими потоками за діючою ставкою та дисконтованими грошовими потоками у разі зміни відсоткової ставки за кожним фінансовим інструментом.</w:t>
      </w:r>
    </w:p>
    <w:p w:rsidR="00DD262C" w:rsidRPr="00DD262C" w:rsidRDefault="00DD262C" w:rsidP="00DD262C">
      <w:pPr>
        <w:shd w:val="clear" w:color="auto" w:fill="FFFFFF"/>
        <w:autoSpaceDE w:val="0"/>
        <w:autoSpaceDN w:val="0"/>
        <w:adjustRightInd w:val="0"/>
        <w:spacing w:line="360" w:lineRule="auto"/>
        <w:ind w:firstLine="567"/>
        <w:rPr>
          <w:rFonts w:ascii="Times New Roman" w:hAnsi="Times New Roman" w:cs="Times New Roman"/>
          <w:lang w:val="uk-UA"/>
        </w:rPr>
      </w:pPr>
      <w:r w:rsidRPr="00DD262C">
        <w:rPr>
          <w:rFonts w:ascii="Times New Roman" w:hAnsi="Times New Roman" w:cs="Times New Roman"/>
          <w:lang w:val="uk-UA"/>
        </w:rPr>
        <w:t>Відсоткові ризики:</w:t>
      </w:r>
    </w:p>
    <w:p w:rsidR="00DD262C" w:rsidRPr="00DD262C" w:rsidRDefault="00DD262C" w:rsidP="00DD262C">
      <w:pPr>
        <w:shd w:val="clear" w:color="auto" w:fill="FFFFFF"/>
        <w:autoSpaceDE w:val="0"/>
        <w:autoSpaceDN w:val="0"/>
        <w:adjustRightInd w:val="0"/>
        <w:spacing w:line="360" w:lineRule="auto"/>
        <w:ind w:left="6381" w:firstLine="709"/>
        <w:rPr>
          <w:rFonts w:ascii="Times New Roman" w:hAnsi="Times New Roman" w:cs="Times New Roman"/>
          <w:sz w:val="18"/>
          <w:szCs w:val="18"/>
          <w:lang w:val="uk-UA"/>
        </w:rPr>
      </w:pPr>
      <w:r w:rsidRPr="00DD262C">
        <w:rPr>
          <w:rFonts w:ascii="Times New Roman" w:hAnsi="Times New Roman" w:cs="Times New Roman"/>
          <w:sz w:val="18"/>
          <w:szCs w:val="18"/>
          <w:lang w:val="uk-UA"/>
        </w:rPr>
        <w:t>Таб.6.13.2. (тис. грн.)</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0"/>
        <w:gridCol w:w="1359"/>
        <w:gridCol w:w="1959"/>
        <w:gridCol w:w="1646"/>
        <w:gridCol w:w="1495"/>
      </w:tblGrid>
      <w:tr w:rsidR="00DD262C" w:rsidRPr="00DD262C" w:rsidTr="00B80E44">
        <w:trPr>
          <w:trHeight w:val="730"/>
          <w:jc w:val="center"/>
        </w:trPr>
        <w:tc>
          <w:tcPr>
            <w:tcW w:w="2660"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lang w:val="uk-UA"/>
              </w:rPr>
            </w:pPr>
            <w:r w:rsidRPr="00DD262C">
              <w:rPr>
                <w:rFonts w:ascii="Times New Roman" w:hAnsi="Times New Roman" w:cs="Times New Roman"/>
                <w:b/>
                <w:bCs/>
                <w:i/>
                <w:lang w:val="uk-UA"/>
              </w:rPr>
              <w:t>Тип активу</w:t>
            </w:r>
          </w:p>
        </w:tc>
        <w:tc>
          <w:tcPr>
            <w:tcW w:w="1359"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lang w:val="uk-UA"/>
              </w:rPr>
            </w:pPr>
            <w:r w:rsidRPr="00DD262C">
              <w:rPr>
                <w:rFonts w:ascii="Times New Roman" w:hAnsi="Times New Roman" w:cs="Times New Roman"/>
                <w:b/>
                <w:bCs/>
                <w:i/>
                <w:color w:val="FFFFFF"/>
                <w:lang w:val="uk-UA"/>
              </w:rPr>
              <w:t>Вартість</w:t>
            </w:r>
          </w:p>
        </w:tc>
        <w:tc>
          <w:tcPr>
            <w:tcW w:w="1959" w:type="dxa"/>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bCs/>
                <w:i/>
                <w:color w:val="FFFFFF"/>
                <w:lang w:val="uk-UA"/>
              </w:rPr>
            </w:pPr>
            <w:r w:rsidRPr="00DD262C">
              <w:rPr>
                <w:rFonts w:ascii="Times New Roman" w:hAnsi="Times New Roman" w:cs="Times New Roman"/>
                <w:b/>
                <w:bCs/>
                <w:i/>
                <w:color w:val="FFFFFF"/>
                <w:lang w:val="uk-UA"/>
              </w:rPr>
              <w:t>Середньозважена ставка</w:t>
            </w:r>
          </w:p>
        </w:tc>
        <w:tc>
          <w:tcPr>
            <w:tcW w:w="3141" w:type="dxa"/>
            <w:gridSpan w:val="2"/>
            <w:shd w:val="clear" w:color="auto" w:fill="0070C0"/>
            <w:vAlign w:val="center"/>
          </w:tcPr>
          <w:p w:rsidR="00DD262C" w:rsidRPr="00DD262C" w:rsidRDefault="00DD262C" w:rsidP="00B80E44">
            <w:pPr>
              <w:autoSpaceDE w:val="0"/>
              <w:autoSpaceDN w:val="0"/>
              <w:adjustRightInd w:val="0"/>
              <w:jc w:val="center"/>
              <w:rPr>
                <w:rFonts w:ascii="Times New Roman" w:hAnsi="Times New Roman" w:cs="Times New Roman"/>
                <w:b/>
                <w:i/>
                <w:color w:val="FFFFFF"/>
                <w:lang w:val="uk-UA"/>
              </w:rPr>
            </w:pPr>
            <w:r w:rsidRPr="00DD262C">
              <w:rPr>
                <w:rFonts w:ascii="Times New Roman" w:hAnsi="Times New Roman" w:cs="Times New Roman"/>
                <w:b/>
                <w:bCs/>
                <w:i/>
                <w:color w:val="FFFFFF"/>
                <w:lang w:val="uk-UA"/>
              </w:rPr>
              <w:t>Потенційний вплив на чисті активи Товариства в разі зміни відсоткової ставки</w:t>
            </w:r>
          </w:p>
        </w:tc>
      </w:tr>
      <w:tr w:rsidR="00DD262C" w:rsidRPr="00DD262C" w:rsidTr="00B80E44">
        <w:trPr>
          <w:jc w:val="center"/>
        </w:trPr>
        <w:tc>
          <w:tcPr>
            <w:tcW w:w="9119" w:type="dxa"/>
            <w:gridSpan w:val="5"/>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На 31.12.2021 р.</w:t>
            </w:r>
          </w:p>
        </w:tc>
      </w:tr>
      <w:tr w:rsidR="00DD262C" w:rsidRPr="00DD262C" w:rsidTr="00B80E44">
        <w:trPr>
          <w:trHeight w:val="50"/>
          <w:jc w:val="center"/>
        </w:trPr>
        <w:tc>
          <w:tcPr>
            <w:tcW w:w="9119" w:type="dxa"/>
            <w:gridSpan w:val="5"/>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Можливі коливання ринкових ставок                                         -3,0% пункти     + 3,0% пункти</w:t>
            </w:r>
          </w:p>
        </w:tc>
      </w:tr>
      <w:tr w:rsidR="00DD262C" w:rsidRPr="00DD262C" w:rsidTr="00B80E44">
        <w:trPr>
          <w:jc w:val="center"/>
        </w:trPr>
        <w:tc>
          <w:tcPr>
            <w:tcW w:w="2660" w:type="dxa"/>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Банківські депозити</w:t>
            </w:r>
          </w:p>
        </w:tc>
        <w:tc>
          <w:tcPr>
            <w:tcW w:w="13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4006,0</w:t>
            </w:r>
          </w:p>
        </w:tc>
        <w:tc>
          <w:tcPr>
            <w:tcW w:w="19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9%</w:t>
            </w:r>
          </w:p>
        </w:tc>
        <w:tc>
          <w:tcPr>
            <w:tcW w:w="1646"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c>
          <w:tcPr>
            <w:tcW w:w="1495"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r>
      <w:tr w:rsidR="00DD262C" w:rsidRPr="00DD262C" w:rsidTr="00B80E44">
        <w:trPr>
          <w:jc w:val="center"/>
        </w:trPr>
        <w:tc>
          <w:tcPr>
            <w:tcW w:w="2660" w:type="dxa"/>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 xml:space="preserve">Разом </w:t>
            </w:r>
          </w:p>
        </w:tc>
        <w:tc>
          <w:tcPr>
            <w:tcW w:w="13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4006,0</w:t>
            </w:r>
          </w:p>
        </w:tc>
        <w:tc>
          <w:tcPr>
            <w:tcW w:w="19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p>
        </w:tc>
        <w:tc>
          <w:tcPr>
            <w:tcW w:w="1646"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c>
          <w:tcPr>
            <w:tcW w:w="1495"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r>
      <w:tr w:rsidR="00DD262C" w:rsidRPr="00DD262C" w:rsidTr="00B80E44">
        <w:trPr>
          <w:jc w:val="center"/>
        </w:trPr>
        <w:tc>
          <w:tcPr>
            <w:tcW w:w="9119" w:type="dxa"/>
            <w:gridSpan w:val="5"/>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На 31.12.2022 р.</w:t>
            </w:r>
          </w:p>
        </w:tc>
      </w:tr>
      <w:tr w:rsidR="00DD262C" w:rsidRPr="00DD262C" w:rsidTr="00B80E44">
        <w:trPr>
          <w:trHeight w:val="332"/>
          <w:jc w:val="center"/>
        </w:trPr>
        <w:tc>
          <w:tcPr>
            <w:tcW w:w="9119" w:type="dxa"/>
            <w:gridSpan w:val="5"/>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Можливі коливання ринкових ставок                                         -3,% пункти     + 3,% пункти</w:t>
            </w:r>
          </w:p>
        </w:tc>
      </w:tr>
      <w:tr w:rsidR="00DD262C" w:rsidRPr="00DD262C" w:rsidTr="00B80E44">
        <w:trPr>
          <w:jc w:val="center"/>
        </w:trPr>
        <w:tc>
          <w:tcPr>
            <w:tcW w:w="2660" w:type="dxa"/>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Банківські депозити</w:t>
            </w:r>
          </w:p>
        </w:tc>
        <w:tc>
          <w:tcPr>
            <w:tcW w:w="13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4067,0</w:t>
            </w:r>
          </w:p>
        </w:tc>
        <w:tc>
          <w:tcPr>
            <w:tcW w:w="19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7,3%</w:t>
            </w:r>
          </w:p>
        </w:tc>
        <w:tc>
          <w:tcPr>
            <w:tcW w:w="1646"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c>
          <w:tcPr>
            <w:tcW w:w="1495"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r>
      <w:tr w:rsidR="00DD262C" w:rsidRPr="00DD262C" w:rsidTr="00B80E44">
        <w:trPr>
          <w:jc w:val="center"/>
        </w:trPr>
        <w:tc>
          <w:tcPr>
            <w:tcW w:w="2660" w:type="dxa"/>
            <w:shd w:val="clear" w:color="auto" w:fill="auto"/>
          </w:tcPr>
          <w:p w:rsidR="00DD262C" w:rsidRPr="00DD262C" w:rsidRDefault="00DD262C" w:rsidP="00B80E44">
            <w:pPr>
              <w:autoSpaceDE w:val="0"/>
              <w:autoSpaceDN w:val="0"/>
              <w:adjustRightInd w:val="0"/>
              <w:jc w:val="both"/>
              <w:rPr>
                <w:rFonts w:ascii="Times New Roman" w:hAnsi="Times New Roman" w:cs="Times New Roman"/>
                <w:lang w:val="uk-UA"/>
              </w:rPr>
            </w:pPr>
            <w:r w:rsidRPr="00DD262C">
              <w:rPr>
                <w:rFonts w:ascii="Times New Roman" w:hAnsi="Times New Roman" w:cs="Times New Roman"/>
                <w:lang w:val="uk-UA"/>
              </w:rPr>
              <w:t xml:space="preserve">Разом </w:t>
            </w:r>
          </w:p>
        </w:tc>
        <w:tc>
          <w:tcPr>
            <w:tcW w:w="13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4067,0</w:t>
            </w:r>
          </w:p>
        </w:tc>
        <w:tc>
          <w:tcPr>
            <w:tcW w:w="1959"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p>
        </w:tc>
        <w:tc>
          <w:tcPr>
            <w:tcW w:w="1646"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c>
          <w:tcPr>
            <w:tcW w:w="1495" w:type="dxa"/>
            <w:shd w:val="clear" w:color="auto" w:fill="auto"/>
          </w:tcPr>
          <w:p w:rsidR="00DD262C" w:rsidRPr="00DD262C" w:rsidRDefault="00DD262C" w:rsidP="00B80E44">
            <w:pPr>
              <w:autoSpaceDE w:val="0"/>
              <w:autoSpaceDN w:val="0"/>
              <w:adjustRightInd w:val="0"/>
              <w:jc w:val="center"/>
              <w:rPr>
                <w:rFonts w:ascii="Times New Roman" w:hAnsi="Times New Roman" w:cs="Times New Roman"/>
                <w:lang w:val="uk-UA"/>
              </w:rPr>
            </w:pPr>
            <w:r w:rsidRPr="00DD262C">
              <w:rPr>
                <w:rFonts w:ascii="Times New Roman" w:hAnsi="Times New Roman" w:cs="Times New Roman"/>
                <w:lang w:val="uk-UA"/>
              </w:rPr>
              <w:t>+120,2</w:t>
            </w:r>
          </w:p>
        </w:tc>
      </w:tr>
    </w:tbl>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i/>
          <w:lang w:val="uk-UA"/>
        </w:rPr>
      </w:pPr>
      <w:r w:rsidRPr="00DD262C">
        <w:rPr>
          <w:rFonts w:ascii="Times New Roman" w:hAnsi="Times New Roman" w:cs="Times New Roman"/>
          <w:i/>
          <w:u w:val="single"/>
          <w:lang w:val="uk-UA"/>
        </w:rPr>
        <w:t>Ризик ліквідності</w:t>
      </w:r>
      <w:r w:rsidRPr="00DD262C">
        <w:rPr>
          <w:rFonts w:ascii="Times New Roman" w:hAnsi="Times New Roman" w:cs="Times New Roman"/>
          <w:i/>
          <w:lang w:val="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 xml:space="preserve">Товариство здійснює контроль ліквідності шляхом планування поточної ліквідності. Товариство аналізує терміни платежів, які пов'язані з дебіторською заборгованістю та іншими фінансовими активами, а також прогнозні потоки грошових коштів від операційної діяльності. </w:t>
      </w:r>
    </w:p>
    <w:p w:rsidR="00DD262C" w:rsidRPr="00DD262C" w:rsidRDefault="00DD262C" w:rsidP="00DD262C">
      <w:pPr>
        <w:shd w:val="clear" w:color="auto" w:fill="FFFFFF"/>
        <w:autoSpaceDE w:val="0"/>
        <w:autoSpaceDN w:val="0"/>
        <w:adjustRightInd w:val="0"/>
        <w:ind w:firstLine="567"/>
        <w:jc w:val="both"/>
        <w:rPr>
          <w:rFonts w:ascii="Times New Roman" w:hAnsi="Times New Roman" w:cs="Times New Roman"/>
          <w:lang w:val="uk-UA"/>
        </w:rPr>
      </w:pPr>
      <w:r w:rsidRPr="00DD262C">
        <w:rPr>
          <w:rFonts w:ascii="Times New Roman" w:hAnsi="Times New Roman" w:cs="Times New Roman"/>
          <w:lang w:val="uk-UA"/>
        </w:rPr>
        <w:t>Контроль за ліквідністю здійснюється також за допомогою виконання нормативних вимог Національної комісії, що здійснює державне регулювання в сфері ринків фінансових послуг.</w:t>
      </w:r>
    </w:p>
    <w:p w:rsidR="00DD262C" w:rsidRPr="00DD262C" w:rsidRDefault="00DD262C" w:rsidP="00DD262C">
      <w:pPr>
        <w:shd w:val="clear" w:color="auto" w:fill="FFFFFF"/>
        <w:ind w:firstLine="567"/>
        <w:jc w:val="both"/>
        <w:rPr>
          <w:rFonts w:ascii="Times New Roman" w:hAnsi="Times New Roman" w:cs="Times New Roman"/>
          <w:b/>
          <w:bCs/>
          <w:i/>
          <w:spacing w:val="-2"/>
          <w:lang w:val="uk-UA"/>
        </w:rPr>
      </w:pPr>
    </w:p>
    <w:p w:rsidR="00DD262C" w:rsidRPr="00DD262C" w:rsidRDefault="00DD262C" w:rsidP="00DD262C">
      <w:pPr>
        <w:shd w:val="clear" w:color="auto" w:fill="FFFFFF"/>
        <w:ind w:firstLine="567"/>
        <w:jc w:val="both"/>
        <w:rPr>
          <w:rFonts w:ascii="Times New Roman" w:hAnsi="Times New Roman" w:cs="Times New Roman"/>
          <w:b/>
          <w:bCs/>
          <w:i/>
          <w:spacing w:val="-2"/>
          <w:lang w:val="uk-UA"/>
        </w:rPr>
      </w:pPr>
      <w:r w:rsidRPr="00DD262C">
        <w:rPr>
          <w:rFonts w:ascii="Times New Roman" w:hAnsi="Times New Roman" w:cs="Times New Roman"/>
          <w:b/>
          <w:bCs/>
          <w:i/>
          <w:spacing w:val="-2"/>
          <w:lang w:val="uk-UA"/>
        </w:rPr>
        <w:t>6.20. Управління капіталом.</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b/>
          <w:bCs/>
          <w:i/>
          <w:spacing w:val="-2"/>
          <w:lang w:val="uk-UA"/>
        </w:rPr>
        <w:t xml:space="preserve"> </w:t>
      </w:r>
      <w:r w:rsidRPr="00DD262C">
        <w:rPr>
          <w:rFonts w:ascii="Times New Roman" w:hAnsi="Times New Roman" w:cs="Times New Roman"/>
          <w:lang w:val="uk-UA"/>
        </w:rPr>
        <w:t>Страхова компанія здійснює управління капіталом з метою досягнення наступних цілей:</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lang w:val="uk-UA"/>
        </w:rPr>
        <w:t>зберегти спроможність Товариства продовжувати свою діяльність так, щоб воно і надалі забезпечувало дохід для учасників Товариства та виплати іншим зацікавленим сторонам;</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lang w:val="uk-UA"/>
        </w:rPr>
        <w:t>забезпечити належний прибуток учасникам товариства завдяки встановленню цін на послуги Товариства, що відповідають рівню ризику.</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lang w:val="uk-UA"/>
        </w:rPr>
        <w:t xml:space="preserve">Керівництво Товариства здійснює огляд структури капіталу на щорічній основі. При цьому керівництво аналізує вартість капіталу та притаманні його складовим ризики. На основі отриманих висновків Товариство здійснює регулювання капіталу шляхом залучення додаткового капіталу або фінансування, а також шляхом  виплати дивідендів. </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lang w:val="uk-UA"/>
        </w:rPr>
        <w:t>З метою відповідності вимогам законодавства в частині розміщення власних засобів у Товариства існує інвестиційна політика, що накладає певні обмеження на структуру інвестиційних активів. Компанія проводить постійний моніторинг достатності капіталу для відповідності вимогам до мінімального розміру статутного капіталу й нормативного запасу платоспроможності.</w:t>
      </w:r>
    </w:p>
    <w:p w:rsidR="00DD262C" w:rsidRPr="00DD262C" w:rsidRDefault="00DD262C" w:rsidP="00DD262C">
      <w:pPr>
        <w:pStyle w:val="a3"/>
        <w:rPr>
          <w:b/>
          <w:bCs/>
          <w:sz w:val="20"/>
        </w:rPr>
      </w:pPr>
      <w:r w:rsidRPr="00DD262C">
        <w:t>Станом на 31 грудня 2022року  розмір власного капіталу Товариства дорівнює 47 605,0 тис.грн.. Чисті активи  компанії перевищують розмір статутного капіталу,  що відповідає нормативним вимогам для ризикових страхових компаній.</w:t>
      </w:r>
      <w:r w:rsidRPr="00DD262C">
        <w:rPr>
          <w:b/>
          <w:bCs/>
          <w:sz w:val="20"/>
        </w:rPr>
        <w:t xml:space="preserve"> </w:t>
      </w:r>
    </w:p>
    <w:p w:rsidR="00DD262C" w:rsidRPr="00DD262C" w:rsidRDefault="00DD262C" w:rsidP="00DD262C">
      <w:pPr>
        <w:pStyle w:val="a3"/>
        <w:rPr>
          <w:b/>
          <w:bCs/>
          <w:sz w:val="20"/>
        </w:rPr>
      </w:pPr>
    </w:p>
    <w:p w:rsidR="00DD262C" w:rsidRPr="00DD262C" w:rsidRDefault="00DD262C" w:rsidP="00DD262C">
      <w:pPr>
        <w:pStyle w:val="a3"/>
        <w:rPr>
          <w:b/>
          <w:bCs/>
          <w:i/>
        </w:rPr>
      </w:pPr>
      <w:r w:rsidRPr="00DD262C">
        <w:rPr>
          <w:b/>
          <w:bCs/>
          <w:i/>
        </w:rPr>
        <w:t>6.21. Операційні  ризики</w:t>
      </w:r>
      <w:r w:rsidRPr="00DD262C">
        <w:rPr>
          <w:i/>
        </w:rPr>
        <w:t xml:space="preserve">  </w:t>
      </w:r>
      <w:r w:rsidRPr="00DD262C">
        <w:rPr>
          <w:b/>
          <w:bCs/>
          <w:i/>
        </w:rPr>
        <w:t>та   політична  ситуація в Україні.</w:t>
      </w:r>
    </w:p>
    <w:p w:rsidR="00DD262C" w:rsidRPr="00DD262C" w:rsidRDefault="00DD262C" w:rsidP="00DD262C">
      <w:pPr>
        <w:pStyle w:val="a3"/>
        <w:rPr>
          <w:b/>
          <w:bCs/>
        </w:rPr>
      </w:pPr>
    </w:p>
    <w:p w:rsidR="00DD262C" w:rsidRPr="00DD262C" w:rsidRDefault="00DD262C" w:rsidP="00DD262C">
      <w:pPr>
        <w:pStyle w:val="a3"/>
        <w:ind w:firstLine="709"/>
        <w:rPr>
          <w:bCs/>
        </w:rPr>
      </w:pPr>
      <w:r w:rsidRPr="00DD262C">
        <w:rPr>
          <w:bCs/>
        </w:rPr>
        <w:t>Хоча в економічній ситуації України помітні тенденції до покращення, економічна перспектива України в багатьох випадках залежить від ефективності економічних заходів, фінансових механізмів і монетарної політики, які застосовує уряд, а також розвиток фіскальної, правової і політичної системи.</w:t>
      </w:r>
    </w:p>
    <w:p w:rsidR="00DD262C" w:rsidRPr="00DD262C" w:rsidRDefault="00DD262C" w:rsidP="00DD262C">
      <w:pPr>
        <w:pStyle w:val="a3"/>
        <w:rPr>
          <w:bCs/>
        </w:rPr>
      </w:pPr>
      <w:r w:rsidRPr="00DD262C">
        <w:rPr>
          <w:bCs/>
        </w:rPr>
        <w:t xml:space="preserve">Українське податкове, валютне і митне законодавство досить часто міняється і має суперечливе трактування. Нещодавні події, які відбулись в Україні показали, що податкові органи можуть зайняти більш жорстку позицію при трактуванні законодавства і перевірці податкових розрахунків, і як наслідок можуть бути донараховані податки, пені, штрафи. </w:t>
      </w:r>
    </w:p>
    <w:p w:rsidR="00DD262C" w:rsidRPr="00DD262C" w:rsidRDefault="00DD262C" w:rsidP="00DD262C">
      <w:pPr>
        <w:pStyle w:val="a3"/>
        <w:ind w:firstLine="709"/>
        <w:rPr>
          <w:bCs/>
        </w:rPr>
      </w:pPr>
      <w:r w:rsidRPr="00DD262C">
        <w:rPr>
          <w:bCs/>
        </w:rPr>
        <w:t>На думку керівництва Компанії, станом на 31.12.2022р., відповідні положення законодавства  інтерпретовані ним  коректо, тому  ймовірність збереження фінансового стану, в якому знаходиться Товариство у зв’язку з податковим, валютним і митним законодавством є досить високою. У випадках, коли на думку керівництва Компанії існують значні сумніви у збережені зазначеного стану Компанії, у фінансовій звітності визнаються відповідні зобов’язання.</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Стабілізація економіки України у досяжному майбутньому залежить від успішності заходів, які проводить уряд, та забезпечення тривалої фінансової підтримки України з боку міжнародних донорів та міжнародних фінансових установ.</w:t>
      </w: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Керівництво стежить за розвитком поточної ситуації та, за необхідності і наскільки це можливо, вживає заходів для мінімізації будь-яких негативних наслідків. Подальше погіршення політичних, макроекономічних та/або зовнішньоторговельних умов може і надалі негативним чином впливати на фінансовий стан та результати діяльності Компанії у такий спосіб, що наразі не може бути визначений.</w:t>
      </w:r>
    </w:p>
    <w:p w:rsidR="00DD262C" w:rsidRPr="00DD262C" w:rsidRDefault="00DD262C" w:rsidP="00DD262C">
      <w:pPr>
        <w:pStyle w:val="a3"/>
        <w:ind w:firstLine="567"/>
        <w:rPr>
          <w:b/>
          <w:bCs/>
          <w:i/>
          <w:iCs/>
          <w:spacing w:val="2"/>
        </w:rPr>
      </w:pPr>
      <w:r w:rsidRPr="00DD262C">
        <w:rPr>
          <w:b/>
          <w:bCs/>
          <w:i/>
          <w:iCs/>
          <w:spacing w:val="2"/>
        </w:rPr>
        <w:t>6.22. Очікуваний вплив спалаху коронавірусу COVID-19 та воєнного стану</w:t>
      </w:r>
    </w:p>
    <w:p w:rsidR="00DD262C" w:rsidRPr="00DD262C" w:rsidRDefault="00DD262C" w:rsidP="00DD262C">
      <w:pPr>
        <w:pStyle w:val="a3"/>
        <w:rPr>
          <w:b/>
          <w:bCs/>
          <w:i/>
          <w:iCs/>
          <w:color w:val="0070C0"/>
          <w:spacing w:val="2"/>
        </w:rPr>
      </w:pP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 xml:space="preserve">З початку 2020 року спалах коронавірусу COVID-19 розповсюдився по всьому світу, вплинувши на світову економіку та фінансові ринки. Внаслідок невизначеності і тривалості подій, пов’язаних зі сполохом коронавірусу COVID-19, Товариство не має практичної можливості точно та надійно оцінити кількісний вплив зазначених подій на фінансовий стан і фінансові результати діяльності в 2022 році. </w:t>
      </w: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З 24 лютого 2022 року здійснено військовий  напад Росії на територію України. Ми звертаємо увагу на питання введення воєнного стану в Україні з 24.02.2022р. на підставі Указа президента України «Про введення воєнного стану в Україні»  №64/2022 від 24.02.2022р.) Наслідки збройного конфлікту, який відбувається в Україні, відчуваються у різноманітних сферах життєдіяльності та функціонування підприємств, суспільства і держави в цілому. Проведення бойових дій в України які тривають і на час надання цієї фінансової звітності призводить до суттєвого погіршення загального економічного стану та поглиблення  кризи. Поліпшення економічної ситуації в країні залежить в першу чергу від  тривалості військової агресії Російської Федерації проти України, а також  сукупності економічних, фіскальних та правових заходів, які будуть впроваджені на протязі всього воєнного періоду та після нього. Тому, на даний момент, у зв’язку з невизначеністю переліку та термінів впровадження таких заходів, неможливо достовірно оцінити ефект впливу поточної економічної ситуації в країні на майбутню діяльність компанії.</w:t>
      </w:r>
    </w:p>
    <w:p w:rsidR="00DD262C" w:rsidRPr="00DD262C" w:rsidRDefault="00DD262C" w:rsidP="00DD262C">
      <w:pPr>
        <w:shd w:val="clear" w:color="auto" w:fill="FFFFFF"/>
        <w:ind w:firstLine="567"/>
        <w:jc w:val="both"/>
        <w:rPr>
          <w:rFonts w:ascii="Times New Roman" w:hAnsi="Times New Roman" w:cs="Times New Roman"/>
          <w:b/>
          <w:i/>
          <w:lang w:val="uk-UA"/>
        </w:rPr>
      </w:pPr>
      <w:r w:rsidRPr="00DD262C">
        <w:rPr>
          <w:rFonts w:ascii="Times New Roman" w:hAnsi="Times New Roman" w:cs="Times New Roman"/>
          <w:b/>
          <w:i/>
          <w:lang w:val="uk-UA"/>
        </w:rPr>
        <w:t>6.23. Операції з пов’язаними сторонами</w:t>
      </w:r>
      <w:bookmarkEnd w:id="55"/>
      <w:bookmarkEnd w:id="56"/>
      <w:bookmarkEnd w:id="57"/>
      <w:bookmarkEnd w:id="58"/>
      <w:bookmarkEnd w:id="59"/>
      <w:r w:rsidRPr="00DD262C">
        <w:rPr>
          <w:rFonts w:ascii="Times New Roman" w:hAnsi="Times New Roman" w:cs="Times New Roman"/>
          <w:b/>
          <w:i/>
          <w:lang w:val="uk-UA"/>
        </w:rPr>
        <w:t>.</w:t>
      </w:r>
      <w:bookmarkStart w:id="63" w:name="_Toc320725151"/>
      <w:bookmarkStart w:id="64" w:name="_Ref111537872"/>
      <w:bookmarkStart w:id="65" w:name="_Ref111537706"/>
      <w:bookmarkEnd w:id="60"/>
      <w:bookmarkEnd w:id="61"/>
      <w:bookmarkEnd w:id="62"/>
    </w:p>
    <w:p w:rsidR="00DD262C" w:rsidRPr="00DD262C" w:rsidRDefault="00DD262C" w:rsidP="00DD262C">
      <w:pPr>
        <w:widowControl w:val="0"/>
        <w:ind w:firstLine="567"/>
        <w:jc w:val="both"/>
        <w:rPr>
          <w:rFonts w:ascii="Times New Roman" w:hAnsi="Times New Roman" w:cs="Times New Roman"/>
          <w:lang w:val="uk-UA"/>
        </w:rPr>
      </w:pPr>
      <w:r w:rsidRPr="00DD262C">
        <w:rPr>
          <w:rFonts w:ascii="Times New Roman" w:hAnsi="Times New Roman" w:cs="Times New Roman"/>
          <w:lang w:val="uk-UA"/>
        </w:rPr>
        <w:t>Відповідно до засад, визначених МСБО 24 «Розкриття інформації про пов'язані сторони» зв'язана сторона – це фізична або юридична особа, пов'язані з суб'єктом господарювання, що складає свою фінансову звітність. Сторони зазвичай вважаються пов'язаними, якщо вони знаходяться під спільним контролем або якщо одна сторона має можливість контролювати іншу або може мати значний вплив на іншу сторону при прийнятті фінансових чи операційних рішень. Пов’язаними особами для Товариства: є особи, які мають суттєвий вплив на Товариство, зокрема фізична особа або близький родич такої особи є пов’язаною стороною із Товариство, якщо така особа: контролює Товариство, або здійснює спільний контроль над ним; має суттєвий вплив на Товариство; є членом провідного управлінського персоналу Товариства, або материнського підприємства. Суб’єкт господарювання є пов’язаним із Товариством, якщо виконується будь-яка з таких умов: суб’єкт господарювання</w:t>
      </w:r>
      <w:r w:rsidRPr="00DD262C">
        <w:rPr>
          <w:rFonts w:ascii="Times New Roman" w:hAnsi="Times New Roman" w:cs="Times New Roman"/>
          <w:b/>
          <w:lang w:val="uk-UA"/>
        </w:rPr>
        <w:t xml:space="preserve"> </w:t>
      </w:r>
      <w:r w:rsidRPr="00DD262C">
        <w:rPr>
          <w:rFonts w:ascii="Times New Roman" w:hAnsi="Times New Roman" w:cs="Times New Roman"/>
          <w:lang w:val="uk-UA"/>
        </w:rPr>
        <w:t xml:space="preserve">та Товариство, є членами однієї групи (а це означає, що кожне материнське підприємство, дочірнє підприємство або дочірнє підприємство під спільним контролем є пов’язані одне з одним); один суб’єкт господарювання є асоційованим підприємством або спільним підприємством іншого суб’єкта господарювання (чи асоційованим підприємством або спільним підприємством члена групи, до якої належить інший суб’єкт господарювання); обидва суб’єкти господарювання є спільними підприємствами однієї третьої сторони; один суб’єкт господарювання є спільним підприємством третього суб’єкта господарювання, а інший суб’єкт господарювання є асоційованим підприємством цього третього суб’єкта господарювання; </w:t>
      </w:r>
    </w:p>
    <w:p w:rsidR="00DD262C" w:rsidRPr="00DD262C" w:rsidRDefault="00DD262C" w:rsidP="00DD262C">
      <w:pPr>
        <w:widowControl w:val="0"/>
        <w:ind w:firstLine="567"/>
        <w:jc w:val="both"/>
        <w:rPr>
          <w:rFonts w:ascii="Times New Roman" w:hAnsi="Times New Roman" w:cs="Times New Roman"/>
          <w:lang w:val="uk-UA"/>
        </w:rPr>
      </w:pPr>
      <w:r w:rsidRPr="00DD262C">
        <w:rPr>
          <w:rFonts w:ascii="Times New Roman" w:hAnsi="Times New Roman" w:cs="Times New Roman"/>
          <w:lang w:val="uk-UA"/>
        </w:rPr>
        <w:t>Операція зі пов'язаною стороною - передача ресурсів, послуг або зобов'язань між суб'єктом господарювання, що звітує (розкриває інформацію), та пов'язаною стороною, незалежно від того, чи призначається ціна.</w:t>
      </w: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 </w:t>
      </w:r>
      <w:r w:rsidRPr="00DD262C">
        <w:rPr>
          <w:rFonts w:ascii="Times New Roman" w:hAnsi="Times New Roman" w:cs="Times New Roman"/>
          <w:lang w:val="uk-UA"/>
        </w:rPr>
        <w:tab/>
        <w:t xml:space="preserve">Оцінка можливої </w:t>
      </w:r>
      <w:r w:rsidRPr="00DD262C">
        <w:rPr>
          <w:rFonts w:ascii="Times New Roman" w:eastAsia="Arial Unicode MS" w:hAnsi="Times New Roman" w:cs="Times New Roman"/>
          <w:lang w:val="uk-UA"/>
        </w:rPr>
        <w:t>​​</w:t>
      </w:r>
      <w:r w:rsidRPr="00DD262C">
        <w:rPr>
          <w:rFonts w:ascii="Times New Roman" w:hAnsi="Times New Roman" w:cs="Times New Roman"/>
          <w:lang w:val="uk-UA"/>
        </w:rPr>
        <w:t xml:space="preserve">наявності проведення операцій з пов’язаними сторонами проводиться Товариством  в кожному фінансовому році за допомогою аналізу балансу відповідної пов'язаної сторони та стану ринку, на якому така сторона веде діяльність. </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 </w:t>
      </w:r>
      <w:r w:rsidRPr="00DD262C">
        <w:rPr>
          <w:rFonts w:ascii="Times New Roman" w:hAnsi="Times New Roman" w:cs="Times New Roman"/>
          <w:lang w:val="uk-UA"/>
        </w:rPr>
        <w:tab/>
        <w:t>Пов’язаними особами для Товариства: є акціонери емітента; особи, частка яких становить понад  20% у статутному капіталі Товариства; посадові особи Товариства та члени їхніх сімей; особи, що діють від імені Товариства за відповідним дорученням, або особи, від імені яких діє Товариство; особи, які відповідно до законодавства України  контролюють діяльність Товариства; юридичні особи, що контролюються Товариством або разом з ним перебувають під</w:t>
      </w:r>
    </w:p>
    <w:p w:rsidR="00DD262C" w:rsidRPr="00DD262C" w:rsidRDefault="00DD262C" w:rsidP="00DD262C">
      <w:pPr>
        <w:jc w:val="both"/>
        <w:rPr>
          <w:rFonts w:ascii="Times New Roman" w:hAnsi="Times New Roman" w:cs="Times New Roman"/>
          <w:lang w:val="uk-UA"/>
        </w:rPr>
      </w:pPr>
      <w:r w:rsidRPr="00DD262C">
        <w:rPr>
          <w:rFonts w:ascii="Times New Roman" w:hAnsi="Times New Roman" w:cs="Times New Roman"/>
          <w:lang w:val="uk-UA"/>
        </w:rPr>
        <w:t>контролем третьої особи;  його керівники та посадові особи.</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i/>
          <w:lang w:val="uk-UA"/>
        </w:rPr>
        <w:t xml:space="preserve"> </w:t>
      </w:r>
      <w:r w:rsidRPr="00DD262C">
        <w:rPr>
          <w:rFonts w:ascii="Times New Roman" w:hAnsi="Times New Roman" w:cs="Times New Roman"/>
          <w:lang w:val="uk-UA"/>
        </w:rPr>
        <w:t xml:space="preserve">Сторони, як правило, вважаються пов'язаними, якщо вони перебувають під загальним контролем, або одна зі сторін має можливість контролювати іншу або може справити значний вплив на іншу сторону при прийнятті фінансових та операційних рішень. При розгляді кожної можливої ​​пов'язаної сторони, особлива увага приділяється змісту відносин, а не тільки їх юридичній формі. </w:t>
      </w:r>
    </w:p>
    <w:p w:rsidR="00DD262C" w:rsidRPr="00DD262C" w:rsidRDefault="00DD262C" w:rsidP="00DD262C">
      <w:pPr>
        <w:shd w:val="clear" w:color="auto" w:fill="FFFFFF"/>
        <w:ind w:firstLine="567"/>
        <w:jc w:val="both"/>
        <w:rPr>
          <w:rFonts w:ascii="Times New Roman" w:hAnsi="Times New Roman" w:cs="Times New Roman"/>
          <w:lang w:val="uk-UA"/>
        </w:rPr>
      </w:pPr>
      <w:r w:rsidRPr="00DD262C">
        <w:rPr>
          <w:rFonts w:ascii="Times New Roman" w:hAnsi="Times New Roman" w:cs="Times New Roman"/>
          <w:lang w:val="uk-UA"/>
        </w:rPr>
        <w:t>ПрАТ «Страхова компанія «САТІС» протягом звітного періоду співпрацювало з пов’язаними особами  Яхниця Олександер Ігоревич, Яхниця Олена Ігорівна. Товариству були надані послуги з оренди приміщень,  оренди автомобіля, та  протягом року виплачувались агентські винагороди пов’язаним особам. Яхниці Ігорю Олександровичу виплачувалась заробітна плата , як Генеральному  Директору ПрАТ «Страхової компанії « САТІС». Розрахунки велися в межах звичайної господарської діяльності.</w:t>
      </w:r>
    </w:p>
    <w:p w:rsidR="00DD262C" w:rsidRPr="00DD262C" w:rsidRDefault="00DD262C" w:rsidP="00DD262C">
      <w:pPr>
        <w:pStyle w:val="1"/>
        <w:numPr>
          <w:ilvl w:val="0"/>
          <w:numId w:val="0"/>
        </w:numPr>
        <w:tabs>
          <w:tab w:val="num" w:pos="3627"/>
        </w:tabs>
        <w:contextualSpacing/>
        <w:jc w:val="both"/>
        <w:rPr>
          <w:b w:val="0"/>
          <w:sz w:val="24"/>
        </w:rPr>
      </w:pPr>
      <w:r w:rsidRPr="00DD262C">
        <w:rPr>
          <w:b w:val="0"/>
          <w:sz w:val="24"/>
        </w:rPr>
        <w:t>Суми винагород пов'язаним сторонам</w:t>
      </w:r>
      <w:r w:rsidRPr="00DD262C">
        <w:rPr>
          <w:sz w:val="24"/>
        </w:rPr>
        <w:t xml:space="preserve"> </w:t>
      </w:r>
      <w:r w:rsidRPr="00DD262C">
        <w:rPr>
          <w:b w:val="0"/>
          <w:sz w:val="24"/>
        </w:rPr>
        <w:t>за  2022 рік складає :</w:t>
      </w: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  по заробітній платі – 180,0 тис.грн. ;</w:t>
      </w: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  за договором оренди приміщення – 414,0 тис.грн.;</w:t>
      </w:r>
    </w:p>
    <w:p w:rsidR="00DD262C" w:rsidRPr="00DD262C" w:rsidRDefault="00DD262C" w:rsidP="00DD262C">
      <w:pPr>
        <w:ind w:firstLine="540"/>
        <w:contextualSpacing/>
        <w:jc w:val="both"/>
        <w:rPr>
          <w:rFonts w:ascii="Times New Roman" w:hAnsi="Times New Roman" w:cs="Times New Roman"/>
          <w:lang w:val="uk-UA"/>
        </w:rPr>
      </w:pPr>
      <w:r w:rsidRPr="00DD262C">
        <w:rPr>
          <w:rFonts w:ascii="Times New Roman" w:hAnsi="Times New Roman" w:cs="Times New Roman"/>
          <w:lang w:val="uk-UA"/>
        </w:rPr>
        <w:t>-  за договорами оренди автотранспорту – 30,0 тис.грн.;</w:t>
      </w:r>
    </w:p>
    <w:p w:rsidR="00DD262C" w:rsidRPr="00DD262C" w:rsidRDefault="00DD262C" w:rsidP="00DD262C">
      <w:pPr>
        <w:ind w:firstLine="540"/>
        <w:jc w:val="both"/>
        <w:rPr>
          <w:rFonts w:ascii="Times New Roman" w:hAnsi="Times New Roman" w:cs="Times New Roman"/>
          <w:b/>
          <w:lang w:val="uk-UA"/>
        </w:rPr>
      </w:pPr>
    </w:p>
    <w:p w:rsidR="00DD262C" w:rsidRPr="00DD262C" w:rsidRDefault="00DD262C" w:rsidP="00DD262C">
      <w:pPr>
        <w:jc w:val="both"/>
        <w:rPr>
          <w:rFonts w:ascii="Times New Roman" w:hAnsi="Times New Roman" w:cs="Times New Roman"/>
          <w:b/>
          <w:i/>
          <w:lang w:val="uk-UA"/>
        </w:rPr>
      </w:pPr>
      <w:r w:rsidRPr="00DD262C">
        <w:rPr>
          <w:rFonts w:ascii="Times New Roman" w:hAnsi="Times New Roman" w:cs="Times New Roman"/>
          <w:b/>
          <w:lang w:val="uk-UA"/>
        </w:rPr>
        <w:t xml:space="preserve">  </w:t>
      </w:r>
      <w:r w:rsidRPr="00DD262C">
        <w:rPr>
          <w:rFonts w:ascii="Times New Roman" w:hAnsi="Times New Roman" w:cs="Times New Roman"/>
          <w:b/>
          <w:lang w:val="uk-UA"/>
        </w:rPr>
        <w:tab/>
        <w:t>6</w:t>
      </w:r>
      <w:r w:rsidRPr="00DD262C">
        <w:rPr>
          <w:rFonts w:ascii="Times New Roman" w:hAnsi="Times New Roman" w:cs="Times New Roman"/>
          <w:b/>
          <w:i/>
          <w:lang w:val="uk-UA"/>
        </w:rPr>
        <w:t>.24. Здатність товариства продовжувати діяльність на безперервній основі.</w:t>
      </w:r>
    </w:p>
    <w:p w:rsidR="00DD262C" w:rsidRPr="00DD262C" w:rsidRDefault="00DD262C" w:rsidP="00DD262C">
      <w:pPr>
        <w:pStyle w:val="ac"/>
        <w:rPr>
          <w:lang w:val="uk-UA"/>
        </w:rPr>
      </w:pPr>
      <w:r w:rsidRPr="00DD262C">
        <w:rPr>
          <w:lang w:val="uk-UA"/>
        </w:rPr>
        <w:t xml:space="preserve">За  2022 рік Товариство отримало прибуток 1 195 тис. грн. </w:t>
      </w: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 xml:space="preserve">Станом на звітну дату Компанія  відповідає  вимогам, які встановлені законодавством й регулюючими органами в області страхування відносно запасу платоспроможності, розміщення страхових резервів і інших нормативів. </w:t>
      </w:r>
    </w:p>
    <w:p w:rsidR="00DD262C" w:rsidRPr="00DD262C" w:rsidRDefault="00DD262C" w:rsidP="00DD262C">
      <w:pPr>
        <w:ind w:firstLine="567"/>
        <w:jc w:val="both"/>
        <w:rPr>
          <w:rFonts w:ascii="Times New Roman" w:hAnsi="Times New Roman" w:cs="Times New Roman"/>
          <w:lang w:val="uk-UA"/>
        </w:rPr>
      </w:pPr>
      <w:r w:rsidRPr="00DD262C">
        <w:rPr>
          <w:rFonts w:ascii="Times New Roman" w:hAnsi="Times New Roman" w:cs="Times New Roman"/>
          <w:lang w:val="uk-UA"/>
        </w:rPr>
        <w:t>Ці показники підтверджують здатність товариства продовжувати діяльність на безперервній основі.</w:t>
      </w:r>
    </w:p>
    <w:p w:rsidR="00DD262C" w:rsidRPr="00DD262C" w:rsidRDefault="00DD262C" w:rsidP="00DD262C">
      <w:pPr>
        <w:jc w:val="both"/>
        <w:rPr>
          <w:rFonts w:ascii="Times New Roman" w:hAnsi="Times New Roman" w:cs="Times New Roman"/>
          <w:i/>
          <w:lang w:val="uk-UA"/>
        </w:rPr>
      </w:pPr>
      <w:r w:rsidRPr="00DD262C">
        <w:rPr>
          <w:rFonts w:ascii="Times New Roman" w:hAnsi="Times New Roman" w:cs="Times New Roman"/>
          <w:b/>
          <w:i/>
          <w:lang w:val="uk-UA"/>
        </w:rPr>
        <w:t>6.25.  Події після дати балансу</w:t>
      </w:r>
      <w:bookmarkEnd w:id="63"/>
      <w:bookmarkEnd w:id="64"/>
      <w:bookmarkEnd w:id="65"/>
      <w:r w:rsidRPr="00DD262C">
        <w:rPr>
          <w:rFonts w:ascii="Times New Roman" w:hAnsi="Times New Roman" w:cs="Times New Roman"/>
          <w:b/>
          <w:i/>
          <w:lang w:val="uk-UA"/>
        </w:rPr>
        <w:t xml:space="preserve">. </w:t>
      </w:r>
    </w:p>
    <w:p w:rsidR="00DD262C" w:rsidRPr="00DD262C" w:rsidRDefault="00DD262C" w:rsidP="00DD262C">
      <w:pPr>
        <w:pStyle w:val="ac"/>
        <w:ind w:firstLine="709"/>
        <w:jc w:val="both"/>
        <w:rPr>
          <w:sz w:val="24"/>
          <w:szCs w:val="24"/>
          <w:lang w:val="uk-UA"/>
        </w:rPr>
      </w:pPr>
      <w:r w:rsidRPr="00DD262C">
        <w:rPr>
          <w:sz w:val="24"/>
          <w:szCs w:val="24"/>
          <w:lang w:val="uk-UA"/>
        </w:rPr>
        <w:t>24 лютого 2022 року, у зв'язку з військовою агресією Російської Федерації проти України, Указом Президента України введено воєнний стан в Україні, якій діє до дати затвердження звітності.</w:t>
      </w:r>
    </w:p>
    <w:p w:rsidR="00DD262C" w:rsidRPr="00DD262C" w:rsidRDefault="00DD262C" w:rsidP="00DD262C">
      <w:pPr>
        <w:pStyle w:val="ac"/>
        <w:ind w:firstLine="709"/>
        <w:jc w:val="both"/>
        <w:rPr>
          <w:sz w:val="24"/>
          <w:szCs w:val="24"/>
          <w:lang w:val="uk-UA"/>
        </w:rPr>
      </w:pPr>
      <w:r w:rsidRPr="00DD262C">
        <w:rPr>
          <w:sz w:val="24"/>
          <w:szCs w:val="24"/>
          <w:lang w:val="uk-UA"/>
        </w:rPr>
        <w:t>Зазначені вище події  є такими, що мають суттєвий вплив на діяльність і розвиток Товариства, та можуть спричинити невизначеності щодо безперервної діяльності Товариства.</w:t>
      </w:r>
    </w:p>
    <w:p w:rsidR="00DD262C" w:rsidRPr="00DD262C" w:rsidRDefault="00DD262C" w:rsidP="00DD262C">
      <w:pPr>
        <w:pStyle w:val="ac"/>
        <w:ind w:firstLine="709"/>
        <w:jc w:val="both"/>
        <w:rPr>
          <w:sz w:val="24"/>
          <w:szCs w:val="24"/>
          <w:lang w:val="uk-UA"/>
        </w:rPr>
      </w:pPr>
      <w:r w:rsidRPr="00DD262C">
        <w:rPr>
          <w:sz w:val="24"/>
          <w:szCs w:val="24"/>
          <w:lang w:val="uk-UA"/>
        </w:rPr>
        <w:t xml:space="preserve">Економічні наслідки військової агресії Російської Федерації проти України не можуть не вплинути на діяльність Товариства. Керівництво здійснює економічну оцінку такого впливу на подальшу діяльність Товариства та відповідно корегує плани та здійснює невідкладні кроки, направлені на підтримку життєдіяльності Компанії та забезпечення стабільного обслуговування клієнтів та гарантованості виплат страхових відшкодувань.   Враховуючи досвід роботи Товариства впродовж року в умовах воєнного стану, керівництво вважає, що Компанія зможе  продовжувати діяльність і в майбутньому за виключенням розвитку катастрофічних подій (окупації значних територій, застосування зброї масового ураження). Товариство в умовах воєнного стану та військових дій продовжує роботу, забезпечує приймання звернень застрахованих осіб 24/7, здійснює врегулювання страхових випадків та виплату страхових відшкодувань по всій підконтрольній території  України, крім зон активних бойових дій.  Співробітники компанії працюють як в режимі дистанційного доступу, так і на своїх робочих місцях в офісах Товариства, в залежності від свого фізичного перебування.  </w:t>
      </w:r>
    </w:p>
    <w:p w:rsidR="00DD262C" w:rsidRPr="00DD262C" w:rsidRDefault="00DD262C" w:rsidP="00DD262C">
      <w:pPr>
        <w:pStyle w:val="ac"/>
        <w:ind w:firstLine="709"/>
        <w:jc w:val="both"/>
        <w:rPr>
          <w:sz w:val="24"/>
          <w:szCs w:val="24"/>
          <w:lang w:val="uk-UA"/>
        </w:rPr>
      </w:pPr>
      <w:r w:rsidRPr="00DD262C">
        <w:rPr>
          <w:sz w:val="24"/>
          <w:szCs w:val="24"/>
          <w:lang w:val="uk-UA"/>
        </w:rPr>
        <w:t>Війна з Росією та шкода, яка завдається Україні щодня, є значним фактором невизначеності. Станом на дату затвердження цієї фінансової звітності керівництво Компанії не має можливості у повному обсязі оцінити остаточний вплив цього вторгнення в Україну на співробітників, фінансовий стан та результати діяльності Компанії. Компанія також не може прогнозувати тривалість війни, можливість посилення її інтенсивності або вплив міграції на свою діяльність.</w:t>
      </w:r>
    </w:p>
    <w:p w:rsidR="00DD262C" w:rsidRPr="00DD262C" w:rsidRDefault="00DD262C" w:rsidP="00DD262C">
      <w:pPr>
        <w:pStyle w:val="ac"/>
        <w:ind w:firstLine="709"/>
        <w:jc w:val="both"/>
        <w:rPr>
          <w:sz w:val="24"/>
          <w:szCs w:val="24"/>
          <w:lang w:val="uk-UA"/>
        </w:rPr>
      </w:pPr>
      <w:r w:rsidRPr="00DD262C">
        <w:rPr>
          <w:sz w:val="24"/>
          <w:szCs w:val="24"/>
          <w:lang w:val="uk-UA"/>
        </w:rPr>
        <w:t>Товариство наразі здійснює фінансово–господарську діяльність відповідно до принципів безперервності діяльності та має впевненість в продовжені такої діяльності  і в майбутньому.</w:t>
      </w:r>
    </w:p>
    <w:p w:rsidR="00DD262C" w:rsidRPr="00DD262C" w:rsidRDefault="00DD262C" w:rsidP="00DD262C">
      <w:pPr>
        <w:pStyle w:val="ac"/>
        <w:ind w:firstLine="709"/>
        <w:jc w:val="both"/>
        <w:rPr>
          <w:i/>
          <w:sz w:val="24"/>
          <w:szCs w:val="24"/>
          <w:lang w:val="uk-UA"/>
        </w:rPr>
      </w:pPr>
    </w:p>
    <w:p w:rsidR="00DD262C" w:rsidRPr="00DD262C" w:rsidRDefault="00DD262C" w:rsidP="00DD262C">
      <w:pPr>
        <w:ind w:firstLine="539"/>
        <w:jc w:val="both"/>
        <w:rPr>
          <w:rFonts w:ascii="Times New Roman" w:hAnsi="Times New Roman" w:cs="Times New Roman"/>
          <w:lang w:val="uk-UA"/>
        </w:rPr>
      </w:pPr>
      <w:r w:rsidRPr="00DD262C">
        <w:rPr>
          <w:rFonts w:ascii="Times New Roman" w:hAnsi="Times New Roman" w:cs="Times New Roman"/>
          <w:lang w:val="uk-UA"/>
        </w:rPr>
        <w:t>ПрАТ СК «САТІС» оцінила в період з 31.12.2022 року та до дати затвердження Керівником звітності про існування наступних подій:</w:t>
      </w:r>
    </w:p>
    <w:p w:rsidR="00DD262C" w:rsidRPr="00DD262C" w:rsidRDefault="00DD262C" w:rsidP="00DD262C">
      <w:pPr>
        <w:ind w:firstLine="539"/>
        <w:jc w:val="both"/>
        <w:rPr>
          <w:rFonts w:ascii="Times New Roman" w:hAnsi="Times New Roman" w:cs="Times New Roman"/>
          <w:lang w:val="uk-UA"/>
        </w:rPr>
      </w:pPr>
      <w:r w:rsidRPr="00DD262C">
        <w:rPr>
          <w:rFonts w:ascii="Times New Roman" w:hAnsi="Times New Roman" w:cs="Times New Roman"/>
          <w:lang w:val="uk-UA"/>
        </w:rPr>
        <w:t>а) події, які свідчать про умови, що існували на кінець звітного періоду (події, які вимагають коригування фінансової звітності за 2022 рік); та</w:t>
      </w:r>
    </w:p>
    <w:p w:rsidR="00DD262C" w:rsidRPr="00DD262C" w:rsidRDefault="00DD262C" w:rsidP="00DD262C">
      <w:pPr>
        <w:ind w:firstLine="539"/>
        <w:jc w:val="both"/>
        <w:rPr>
          <w:rFonts w:ascii="Times New Roman" w:hAnsi="Times New Roman" w:cs="Times New Roman"/>
          <w:lang w:val="uk-UA"/>
        </w:rPr>
      </w:pPr>
      <w:r w:rsidRPr="00DD262C">
        <w:rPr>
          <w:rFonts w:ascii="Times New Roman" w:hAnsi="Times New Roman" w:cs="Times New Roman"/>
          <w:lang w:val="uk-UA"/>
        </w:rPr>
        <w:t>б) події, які свідчать про умови, що виникли після звітного періоду (події, які не вимагають коригування фінансової звітності, але вимагають певних розкритів).</w:t>
      </w:r>
    </w:p>
    <w:p w:rsidR="00DD262C" w:rsidRPr="00DD262C" w:rsidRDefault="00DD262C" w:rsidP="00DD262C">
      <w:pPr>
        <w:ind w:firstLine="539"/>
        <w:jc w:val="both"/>
        <w:rPr>
          <w:rFonts w:ascii="Times New Roman" w:hAnsi="Times New Roman" w:cs="Times New Roman"/>
          <w:color w:val="000000"/>
          <w:lang w:val="uk-UA"/>
        </w:rPr>
      </w:pPr>
      <w:r w:rsidRPr="00DD262C">
        <w:rPr>
          <w:rFonts w:ascii="Times New Roman" w:hAnsi="Times New Roman" w:cs="Times New Roman"/>
          <w:lang w:val="uk-UA"/>
        </w:rPr>
        <w:t>Жодної з наведених вище подій не виявлено.</w:t>
      </w:r>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Як ризики військових дій та економічні наслідки війни можуть вплинути на бухгалтерській облік  та звітність компанії. Вплив залежить від таких чинників як :</w:t>
      </w:r>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 xml:space="preserve">    -залежність від російського чи білоруського ринків   - Товариство не має залежності від вказаних ринків;</w:t>
      </w:r>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 xml:space="preserve">    -наявність дочірніх компаній або активів в Росії, Білорусії або в зоні бойових дій - у товариства відсутні дочірні компанії або активи в Росії та Білорусії .Зона бойових дій постійно змінюється та розширюється і тому погано підлягає прогнозуванню вплив бойових дій на  діяльність Товариства;</w:t>
      </w:r>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 xml:space="preserve">  - пов’язаність з особами,  що перебувають під санкціями - пов’язаність зі вказаними особами у товаристві відсутня.</w:t>
      </w:r>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Цей вплив переглядається, оскільки подальший  розвиток, тривалість та вплив війни неможливо передбачити та оцінити як він вплине на економіку країни в цілому та в окремих галузях економіки.</w:t>
      </w:r>
    </w:p>
    <w:p w:rsidR="00DD262C" w:rsidRPr="00DD262C" w:rsidRDefault="00DD262C" w:rsidP="00DD262C">
      <w:pPr>
        <w:rPr>
          <w:rFonts w:ascii="Times New Roman" w:hAnsi="Times New Roman" w:cs="Times New Roman"/>
          <w:lang w:val="uk-UA"/>
        </w:rPr>
      </w:pPr>
      <w:bookmarkStart w:id="66" w:name="_GoBack"/>
      <w:bookmarkEnd w:id="66"/>
    </w:p>
    <w:p w:rsidR="00DD262C" w:rsidRPr="00DD262C" w:rsidRDefault="00DD262C" w:rsidP="00DD262C">
      <w:pPr>
        <w:rPr>
          <w:rFonts w:ascii="Times New Roman" w:hAnsi="Times New Roman" w:cs="Times New Roman"/>
          <w:lang w:val="uk-UA"/>
        </w:rPr>
      </w:pPr>
      <w:r w:rsidRPr="00DD262C">
        <w:rPr>
          <w:rFonts w:ascii="Times New Roman" w:hAnsi="Times New Roman" w:cs="Times New Roman"/>
          <w:lang w:val="uk-UA"/>
        </w:rPr>
        <w:t>Керівник</w:t>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r>
      <w:r w:rsidRPr="00DD262C">
        <w:rPr>
          <w:rFonts w:ascii="Times New Roman" w:hAnsi="Times New Roman" w:cs="Times New Roman"/>
          <w:lang w:val="uk-UA"/>
        </w:rPr>
        <w:tab/>
        <w:t xml:space="preserve">_____________________ </w:t>
      </w:r>
      <w:r w:rsidRPr="00DD262C">
        <w:rPr>
          <w:rFonts w:ascii="Times New Roman" w:hAnsi="Times New Roman" w:cs="Times New Roman"/>
          <w:lang w:val="uk-UA"/>
        </w:rPr>
        <w:tab/>
      </w:r>
      <w:r w:rsidRPr="00DD262C">
        <w:rPr>
          <w:rFonts w:ascii="Times New Roman" w:hAnsi="Times New Roman" w:cs="Times New Roman"/>
          <w:lang w:val="uk-UA"/>
        </w:rPr>
        <w:tab/>
        <w:t xml:space="preserve">І.О. Яхниця </w:t>
      </w:r>
      <w:r w:rsidRPr="00DD262C">
        <w:rPr>
          <w:rFonts w:ascii="Times New Roman" w:hAnsi="Times New Roman" w:cs="Times New Roman"/>
          <w:lang w:val="uk-UA"/>
        </w:rPr>
        <w:tab/>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sectPr w:rsidR="00000000" w:rsidRPr="00DD262C" w:rsidSect="00DD262C">
          <w:pgSz w:w="12240" w:h="15840"/>
          <w:pgMar w:top="850" w:right="850" w:bottom="567"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ХV. Проміжний звіт керівництва</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w:t>
      </w:r>
      <w:r w:rsidRPr="00DD262C">
        <w:rPr>
          <w:rFonts w:ascii="Times New Roman" w:hAnsi="Times New Roman" w:cs="Times New Roman"/>
          <w:sz w:val="24"/>
          <w:szCs w:val="24"/>
          <w:lang w:val="uk-UA"/>
        </w:rPr>
        <w:t xml:space="preserve"> очiкуванням суспiльства.</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Злиття, приєднання, подiл, видiлення Товариства у звiтному перiодi не вiдбувалось.</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Полiтична та економiчна ситуацiя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програму структурних реформ, спря</w:t>
      </w:r>
      <w:r w:rsidRPr="00DD262C">
        <w:rPr>
          <w:rFonts w:ascii="Times New Roman" w:hAnsi="Times New Roman" w:cs="Times New Roman"/>
          <w:sz w:val="24"/>
          <w:szCs w:val="24"/>
          <w:lang w:val="uk-UA"/>
        </w:rPr>
        <w:t>мовану на усунення iснуючих диспропорцiй суспiльно-економiчного середовища з метою забезпечення умови для вiдновлення економiки.</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Ключовими ризиками для стабiлiзацiї суспiльно-економiчного середовища в Українi у найближчому майбутньому є: невизначенiсть, я</w:t>
      </w:r>
      <w:r w:rsidRPr="00DD262C">
        <w:rPr>
          <w:rFonts w:ascii="Times New Roman" w:hAnsi="Times New Roman" w:cs="Times New Roman"/>
          <w:sz w:val="24"/>
          <w:szCs w:val="24"/>
          <w:lang w:val="uk-UA"/>
        </w:rPr>
        <w:t>ка пов'язана iз запровадженням та тривалiстю воєнного стану в Українi, безпека спiвробiтникiв, безперервне функцiонування Товариства, невизначенiсть у вiдновленнi повноцiнної спiвпрацi з МВФ, триваюча нестабiльнiсть на традицiйних експортних товарних ринка</w:t>
      </w:r>
      <w:r w:rsidRPr="00DD262C">
        <w:rPr>
          <w:rFonts w:ascii="Times New Roman" w:hAnsi="Times New Roman" w:cs="Times New Roman"/>
          <w:sz w:val="24"/>
          <w:szCs w:val="24"/>
          <w:lang w:val="uk-UA"/>
        </w:rPr>
        <w:t>х країни, слабкiсть нацiональної валюти, та залежнiсть</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країни вiд зовнiшнiх запозичень. Негативний розвиток подiй у полiтичнiй ситуацiї, макроекономiчних умовах та/або умовах зовнiшньої торгiвлi є можливим i може негативно впливати на фiнансовий стан та р</w:t>
      </w:r>
      <w:r w:rsidRPr="00DD262C">
        <w:rPr>
          <w:rFonts w:ascii="Times New Roman" w:hAnsi="Times New Roman" w:cs="Times New Roman"/>
          <w:sz w:val="24"/>
          <w:szCs w:val="24"/>
          <w:lang w:val="uk-UA"/>
        </w:rPr>
        <w:t>езультати дiяльностi ПрАТ "СК "САТIС" .</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бухга</w:t>
      </w:r>
      <w:r w:rsidRPr="00DD262C">
        <w:rPr>
          <w:rFonts w:ascii="Times New Roman" w:hAnsi="Times New Roman" w:cs="Times New Roman"/>
          <w:sz w:val="24"/>
          <w:szCs w:val="24"/>
          <w:lang w:val="uk-UA"/>
        </w:rPr>
        <w:t>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p w:rsidR="00000000"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sectPr w:rsidR="00000000" w:rsidRPr="00DD262C">
          <w:pgSz w:w="12240" w:h="15840"/>
          <w:pgMar w:top="850" w:right="850" w:bottom="850" w:left="1400" w:header="720" w:footer="720" w:gutter="0"/>
          <w:cols w:space="720"/>
          <w:noEndnote/>
        </w:sectPr>
      </w:pPr>
    </w:p>
    <w:p w:rsidR="00000000" w:rsidRPr="00DD262C" w:rsidRDefault="009C5202">
      <w:pPr>
        <w:widowControl w:val="0"/>
        <w:autoSpaceDE w:val="0"/>
        <w:autoSpaceDN w:val="0"/>
        <w:adjustRightInd w:val="0"/>
        <w:spacing w:after="0" w:line="240" w:lineRule="auto"/>
        <w:jc w:val="center"/>
        <w:rPr>
          <w:rFonts w:ascii="Times New Roman" w:hAnsi="Times New Roman" w:cs="Times New Roman"/>
          <w:b/>
          <w:bCs/>
          <w:sz w:val="28"/>
          <w:szCs w:val="28"/>
          <w:lang w:val="uk-UA"/>
        </w:rPr>
      </w:pPr>
      <w:r w:rsidRPr="00DD262C">
        <w:rPr>
          <w:rFonts w:ascii="Times New Roman" w:hAnsi="Times New Roman" w:cs="Times New Roman"/>
          <w:b/>
          <w:bCs/>
          <w:sz w:val="28"/>
          <w:szCs w:val="28"/>
          <w:lang w:val="uk-UA"/>
        </w:rPr>
        <w:t>ХVІ. Твердження щод</w:t>
      </w:r>
      <w:r w:rsidRPr="00DD262C">
        <w:rPr>
          <w:rFonts w:ascii="Times New Roman" w:hAnsi="Times New Roman" w:cs="Times New Roman"/>
          <w:b/>
          <w:bCs/>
          <w:sz w:val="28"/>
          <w:szCs w:val="28"/>
          <w:lang w:val="uk-UA"/>
        </w:rPr>
        <w:t>о проміжної інформації</w:t>
      </w:r>
    </w:p>
    <w:p w:rsidR="00000000" w:rsidRPr="00DD262C" w:rsidRDefault="009C5202">
      <w:pPr>
        <w:widowControl w:val="0"/>
        <w:autoSpaceDE w:val="0"/>
        <w:autoSpaceDN w:val="0"/>
        <w:adjustRightInd w:val="0"/>
        <w:spacing w:after="0" w:line="240" w:lineRule="auto"/>
        <w:jc w:val="both"/>
        <w:rPr>
          <w:rFonts w:ascii="Times New Roman" w:hAnsi="Times New Roman" w:cs="Times New Roman"/>
          <w:sz w:val="24"/>
          <w:szCs w:val="24"/>
          <w:lang w:val="uk-UA"/>
        </w:rPr>
      </w:pPr>
      <w:r w:rsidRPr="00DD262C">
        <w:rPr>
          <w:rFonts w:ascii="Times New Roman" w:hAnsi="Times New Roman" w:cs="Times New Roman"/>
          <w:sz w:val="24"/>
          <w:szCs w:val="24"/>
          <w:lang w:val="uk-UA"/>
        </w:rPr>
        <w:t>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 мi</w:t>
      </w:r>
      <w:r w:rsidRPr="00DD262C">
        <w:rPr>
          <w:rFonts w:ascii="Times New Roman" w:hAnsi="Times New Roman" w:cs="Times New Roman"/>
          <w:sz w:val="24"/>
          <w:szCs w:val="24"/>
          <w:lang w:val="uk-UA"/>
        </w:rPr>
        <w:t>стить достовiрне та об'єктивне подання iнформацiї про стан активiв, пасивiв, фiнансовий стан, прибутки та збитки емiтента.</w:t>
      </w:r>
    </w:p>
    <w:p w:rsidR="009C5202" w:rsidRPr="00DD262C" w:rsidRDefault="009C5202">
      <w:pPr>
        <w:widowControl w:val="0"/>
        <w:autoSpaceDE w:val="0"/>
        <w:autoSpaceDN w:val="0"/>
        <w:adjustRightInd w:val="0"/>
        <w:spacing w:after="0" w:line="240" w:lineRule="auto"/>
        <w:rPr>
          <w:rFonts w:ascii="Times New Roman" w:hAnsi="Times New Roman" w:cs="Times New Roman"/>
          <w:sz w:val="24"/>
          <w:szCs w:val="24"/>
          <w:lang w:val="uk-UA"/>
        </w:rPr>
      </w:pPr>
    </w:p>
    <w:sectPr w:rsidR="009C5202" w:rsidRPr="00DD262C">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Franklin Gothic Book">
    <w:altName w:val="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4D4"/>
    <w:multiLevelType w:val="hybridMultilevel"/>
    <w:tmpl w:val="457AD666"/>
    <w:lvl w:ilvl="0" w:tplc="358A5198">
      <w:start w:val="3"/>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 w15:restartNumberingAfterBreak="0">
    <w:nsid w:val="01EE2E6D"/>
    <w:multiLevelType w:val="hybridMultilevel"/>
    <w:tmpl w:val="7C38CE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32CA5"/>
    <w:multiLevelType w:val="hybridMultilevel"/>
    <w:tmpl w:val="E7648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BE3B02"/>
    <w:multiLevelType w:val="hybridMultilevel"/>
    <w:tmpl w:val="D14A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13411"/>
    <w:multiLevelType w:val="hybridMultilevel"/>
    <w:tmpl w:val="4E68513C"/>
    <w:lvl w:ilvl="0" w:tplc="04190003">
      <w:start w:val="1"/>
      <w:numFmt w:val="bullet"/>
      <w:lvlText w:val="o"/>
      <w:lvlJc w:val="left"/>
      <w:pPr>
        <w:ind w:left="1429" w:hanging="360"/>
      </w:pPr>
      <w:rPr>
        <w:rFonts w:ascii="Courier New" w:hAnsi="Courier New" w:cs="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BF763A"/>
    <w:multiLevelType w:val="hybridMultilevel"/>
    <w:tmpl w:val="B5E0D62C"/>
    <w:lvl w:ilvl="0" w:tplc="4BA2E23A">
      <w:numFmt w:val="bullet"/>
      <w:lvlText w:val="•"/>
      <w:lvlJc w:val="left"/>
      <w:pPr>
        <w:ind w:left="360" w:hanging="360"/>
      </w:pPr>
      <w:rPr>
        <w:rFonts w:ascii="Franklin Gothic Book" w:eastAsia="Times New Roman" w:hAnsi="Franklin Gothic Book"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EFC0818"/>
    <w:multiLevelType w:val="hybridMultilevel"/>
    <w:tmpl w:val="6AEC5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32616B"/>
    <w:multiLevelType w:val="hybridMultilevel"/>
    <w:tmpl w:val="E6222E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1D660E7"/>
    <w:multiLevelType w:val="hybridMultilevel"/>
    <w:tmpl w:val="B4C43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763C59"/>
    <w:multiLevelType w:val="hybridMultilevel"/>
    <w:tmpl w:val="BDD071A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86B0477"/>
    <w:multiLevelType w:val="hybridMultilevel"/>
    <w:tmpl w:val="137254E0"/>
    <w:lvl w:ilvl="0" w:tplc="4BA2E23A">
      <w:numFmt w:val="bullet"/>
      <w:lvlText w:val="•"/>
      <w:lvlJc w:val="left"/>
      <w:pPr>
        <w:ind w:left="360" w:hanging="360"/>
      </w:pPr>
      <w:rPr>
        <w:rFonts w:ascii="Franklin Gothic Book" w:eastAsia="Times New Roman" w:hAnsi="Franklin Gothic Book"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97DCB"/>
    <w:multiLevelType w:val="multilevel"/>
    <w:tmpl w:val="D56E7A9A"/>
    <w:lvl w:ilvl="0">
      <w:start w:val="1"/>
      <w:numFmt w:val="decimal"/>
      <w:pStyle w:val="1"/>
      <w:lvlText w:val="%1"/>
      <w:lvlJc w:val="left"/>
      <w:pPr>
        <w:tabs>
          <w:tab w:val="num" w:pos="3627"/>
        </w:tabs>
        <w:ind w:left="3627" w:hanging="567"/>
      </w:pPr>
      <w:rPr>
        <w:rFonts w:ascii="Arial" w:eastAsia="Times New Roman" w:hAnsi="Arial" w:cs="Arial"/>
        <w:b/>
        <w:i w:val="0"/>
        <w:caps w:val="0"/>
        <w:strike w:val="0"/>
        <w:dstrike w:val="0"/>
        <w:vanish w:val="0"/>
        <w:color w:val="auto"/>
        <w:sz w:val="20"/>
        <w:vertAlign w:val="baseline"/>
      </w:rPr>
    </w:lvl>
    <w:lvl w:ilvl="1">
      <w:start w:val="1"/>
      <w:numFmt w:val="decimal"/>
      <w:isLgl/>
      <w:lvlText w:val="%1.%2."/>
      <w:lvlJc w:val="left"/>
      <w:pPr>
        <w:ind w:left="4140" w:hanging="360"/>
      </w:pPr>
      <w:rPr>
        <w:rFonts w:cs="Times New Roman" w:hint="default"/>
        <w:b/>
        <w:color w:val="auto"/>
      </w:rPr>
    </w:lvl>
    <w:lvl w:ilvl="2">
      <w:start w:val="1"/>
      <w:numFmt w:val="decimal"/>
      <w:isLgl/>
      <w:lvlText w:val="%1.%2.%3."/>
      <w:lvlJc w:val="left"/>
      <w:pPr>
        <w:ind w:left="144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12" w15:restartNumberingAfterBreak="0">
    <w:nsid w:val="2D67739F"/>
    <w:multiLevelType w:val="hybridMultilevel"/>
    <w:tmpl w:val="E264D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DB01C4"/>
    <w:multiLevelType w:val="hybridMultilevel"/>
    <w:tmpl w:val="F0964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715425"/>
    <w:multiLevelType w:val="hybridMultilevel"/>
    <w:tmpl w:val="88AA7FA8"/>
    <w:lvl w:ilvl="0" w:tplc="04190003">
      <w:start w:val="1"/>
      <w:numFmt w:val="bullet"/>
      <w:lvlText w:val="o"/>
      <w:lvlJc w:val="left"/>
      <w:pPr>
        <w:ind w:left="1429" w:hanging="360"/>
      </w:pPr>
      <w:rPr>
        <w:rFonts w:ascii="Courier New" w:hAnsi="Courier New" w:cs="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CD4100"/>
    <w:multiLevelType w:val="hybridMultilevel"/>
    <w:tmpl w:val="DAA0D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35497B"/>
    <w:multiLevelType w:val="hybridMultilevel"/>
    <w:tmpl w:val="943686F0"/>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6E1EE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A37A27"/>
    <w:multiLevelType w:val="hybridMultilevel"/>
    <w:tmpl w:val="0E94C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9887DDA"/>
    <w:multiLevelType w:val="hybridMultilevel"/>
    <w:tmpl w:val="BC302244"/>
    <w:lvl w:ilvl="0" w:tplc="4BA2E23A">
      <w:numFmt w:val="bullet"/>
      <w:lvlText w:val="•"/>
      <w:lvlJc w:val="left"/>
      <w:pPr>
        <w:ind w:left="106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1D0BDA"/>
    <w:multiLevelType w:val="hybridMultilevel"/>
    <w:tmpl w:val="D58CE414"/>
    <w:lvl w:ilvl="0" w:tplc="4BA2E23A">
      <w:numFmt w:val="bullet"/>
      <w:lvlText w:val="•"/>
      <w:lvlJc w:val="left"/>
      <w:pPr>
        <w:ind w:left="106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DDC1361"/>
    <w:multiLevelType w:val="hybridMultilevel"/>
    <w:tmpl w:val="504CCA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1967683"/>
    <w:multiLevelType w:val="hybridMultilevel"/>
    <w:tmpl w:val="AF96AEBC"/>
    <w:lvl w:ilvl="0" w:tplc="04190001">
      <w:start w:val="1"/>
      <w:numFmt w:val="bullet"/>
      <w:lvlText w:val=""/>
      <w:lvlJc w:val="left"/>
      <w:pPr>
        <w:ind w:left="1745" w:hanging="360"/>
      </w:pPr>
      <w:rPr>
        <w:rFonts w:ascii="Symbol" w:hAnsi="Symbol" w:hint="default"/>
      </w:rPr>
    </w:lvl>
    <w:lvl w:ilvl="1" w:tplc="04190003" w:tentative="1">
      <w:start w:val="1"/>
      <w:numFmt w:val="bullet"/>
      <w:lvlText w:val="o"/>
      <w:lvlJc w:val="left"/>
      <w:pPr>
        <w:ind w:left="2465" w:hanging="360"/>
      </w:pPr>
      <w:rPr>
        <w:rFonts w:ascii="Courier New" w:hAnsi="Courier New" w:cs="Courier New" w:hint="default"/>
      </w:rPr>
    </w:lvl>
    <w:lvl w:ilvl="2" w:tplc="04190005" w:tentative="1">
      <w:start w:val="1"/>
      <w:numFmt w:val="bullet"/>
      <w:lvlText w:val=""/>
      <w:lvlJc w:val="left"/>
      <w:pPr>
        <w:ind w:left="3185" w:hanging="360"/>
      </w:pPr>
      <w:rPr>
        <w:rFonts w:ascii="Wingdings" w:hAnsi="Wingdings" w:hint="default"/>
      </w:rPr>
    </w:lvl>
    <w:lvl w:ilvl="3" w:tplc="04190001" w:tentative="1">
      <w:start w:val="1"/>
      <w:numFmt w:val="bullet"/>
      <w:lvlText w:val=""/>
      <w:lvlJc w:val="left"/>
      <w:pPr>
        <w:ind w:left="3905" w:hanging="360"/>
      </w:pPr>
      <w:rPr>
        <w:rFonts w:ascii="Symbol" w:hAnsi="Symbol" w:hint="default"/>
      </w:rPr>
    </w:lvl>
    <w:lvl w:ilvl="4" w:tplc="04190003" w:tentative="1">
      <w:start w:val="1"/>
      <w:numFmt w:val="bullet"/>
      <w:lvlText w:val="o"/>
      <w:lvlJc w:val="left"/>
      <w:pPr>
        <w:ind w:left="4625" w:hanging="360"/>
      </w:pPr>
      <w:rPr>
        <w:rFonts w:ascii="Courier New" w:hAnsi="Courier New" w:cs="Courier New" w:hint="default"/>
      </w:rPr>
    </w:lvl>
    <w:lvl w:ilvl="5" w:tplc="04190005" w:tentative="1">
      <w:start w:val="1"/>
      <w:numFmt w:val="bullet"/>
      <w:lvlText w:val=""/>
      <w:lvlJc w:val="left"/>
      <w:pPr>
        <w:ind w:left="5345" w:hanging="360"/>
      </w:pPr>
      <w:rPr>
        <w:rFonts w:ascii="Wingdings" w:hAnsi="Wingdings" w:hint="default"/>
      </w:rPr>
    </w:lvl>
    <w:lvl w:ilvl="6" w:tplc="04190001" w:tentative="1">
      <w:start w:val="1"/>
      <w:numFmt w:val="bullet"/>
      <w:lvlText w:val=""/>
      <w:lvlJc w:val="left"/>
      <w:pPr>
        <w:ind w:left="6065" w:hanging="360"/>
      </w:pPr>
      <w:rPr>
        <w:rFonts w:ascii="Symbol" w:hAnsi="Symbol" w:hint="default"/>
      </w:rPr>
    </w:lvl>
    <w:lvl w:ilvl="7" w:tplc="04190003" w:tentative="1">
      <w:start w:val="1"/>
      <w:numFmt w:val="bullet"/>
      <w:lvlText w:val="o"/>
      <w:lvlJc w:val="left"/>
      <w:pPr>
        <w:ind w:left="6785" w:hanging="360"/>
      </w:pPr>
      <w:rPr>
        <w:rFonts w:ascii="Courier New" w:hAnsi="Courier New" w:cs="Courier New" w:hint="default"/>
      </w:rPr>
    </w:lvl>
    <w:lvl w:ilvl="8" w:tplc="04190005" w:tentative="1">
      <w:start w:val="1"/>
      <w:numFmt w:val="bullet"/>
      <w:lvlText w:val=""/>
      <w:lvlJc w:val="left"/>
      <w:pPr>
        <w:ind w:left="7505" w:hanging="360"/>
      </w:pPr>
      <w:rPr>
        <w:rFonts w:ascii="Wingdings" w:hAnsi="Wingdings" w:hint="default"/>
      </w:rPr>
    </w:lvl>
  </w:abstractNum>
  <w:abstractNum w:abstractNumId="23" w15:restartNumberingAfterBreak="0">
    <w:nsid w:val="6596654C"/>
    <w:multiLevelType w:val="hybridMultilevel"/>
    <w:tmpl w:val="AA18FD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7447670"/>
    <w:multiLevelType w:val="hybridMultilevel"/>
    <w:tmpl w:val="0F686A1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7CB2511"/>
    <w:multiLevelType w:val="hybridMultilevel"/>
    <w:tmpl w:val="63B8FB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F41F86"/>
    <w:multiLevelType w:val="hybridMultilevel"/>
    <w:tmpl w:val="5DFACB14"/>
    <w:lvl w:ilvl="0" w:tplc="632A96C6">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92B6E12"/>
    <w:multiLevelType w:val="hybridMultilevel"/>
    <w:tmpl w:val="F2344094"/>
    <w:lvl w:ilvl="0" w:tplc="2730DB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0A1A76"/>
    <w:multiLevelType w:val="hybridMultilevel"/>
    <w:tmpl w:val="8C9A9220"/>
    <w:lvl w:ilvl="0" w:tplc="04190003">
      <w:start w:val="1"/>
      <w:numFmt w:val="bullet"/>
      <w:lvlText w:val="o"/>
      <w:lvlJc w:val="left"/>
      <w:pPr>
        <w:tabs>
          <w:tab w:val="num" w:pos="1425"/>
        </w:tabs>
        <w:ind w:left="1425" w:hanging="360"/>
      </w:pPr>
      <w:rPr>
        <w:rFonts w:ascii="Courier New" w:hAnsi="Courier New" w:cs="Courier New"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9" w15:restartNumberingAfterBreak="0">
    <w:nsid w:val="76AE3769"/>
    <w:multiLevelType w:val="hybridMultilevel"/>
    <w:tmpl w:val="E3C80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275DEB"/>
    <w:multiLevelType w:val="hybridMultilevel"/>
    <w:tmpl w:val="B6464E8A"/>
    <w:lvl w:ilvl="0" w:tplc="AA1A1B1A">
      <w:start w:val="1"/>
      <w:numFmt w:val="decimal"/>
      <w:lvlText w:val="%1."/>
      <w:lvlJc w:val="left"/>
      <w:pPr>
        <w:tabs>
          <w:tab w:val="num" w:pos="720"/>
        </w:tabs>
        <w:ind w:left="720" w:hanging="360"/>
      </w:pPr>
      <w:rPr>
        <w:rFonts w:hint="default"/>
      </w:rPr>
    </w:lvl>
    <w:lvl w:ilvl="1" w:tplc="006EC580" w:tentative="1">
      <w:start w:val="1"/>
      <w:numFmt w:val="lowerLetter"/>
      <w:lvlText w:val="%2."/>
      <w:lvlJc w:val="left"/>
      <w:pPr>
        <w:tabs>
          <w:tab w:val="num" w:pos="1440"/>
        </w:tabs>
        <w:ind w:left="1440" w:hanging="360"/>
      </w:pPr>
    </w:lvl>
    <w:lvl w:ilvl="2" w:tplc="6B90DDCC" w:tentative="1">
      <w:start w:val="1"/>
      <w:numFmt w:val="lowerRoman"/>
      <w:lvlText w:val="%3."/>
      <w:lvlJc w:val="right"/>
      <w:pPr>
        <w:tabs>
          <w:tab w:val="num" w:pos="2160"/>
        </w:tabs>
        <w:ind w:left="2160" w:hanging="180"/>
      </w:pPr>
    </w:lvl>
    <w:lvl w:ilvl="3" w:tplc="75E2F8E4" w:tentative="1">
      <w:start w:val="1"/>
      <w:numFmt w:val="decimal"/>
      <w:lvlText w:val="%4."/>
      <w:lvlJc w:val="left"/>
      <w:pPr>
        <w:tabs>
          <w:tab w:val="num" w:pos="2880"/>
        </w:tabs>
        <w:ind w:left="2880" w:hanging="360"/>
      </w:pPr>
    </w:lvl>
    <w:lvl w:ilvl="4" w:tplc="F1562910" w:tentative="1">
      <w:start w:val="1"/>
      <w:numFmt w:val="lowerLetter"/>
      <w:lvlText w:val="%5."/>
      <w:lvlJc w:val="left"/>
      <w:pPr>
        <w:tabs>
          <w:tab w:val="num" w:pos="3600"/>
        </w:tabs>
        <w:ind w:left="3600" w:hanging="360"/>
      </w:pPr>
    </w:lvl>
    <w:lvl w:ilvl="5" w:tplc="BB10D3E6" w:tentative="1">
      <w:start w:val="1"/>
      <w:numFmt w:val="lowerRoman"/>
      <w:lvlText w:val="%6."/>
      <w:lvlJc w:val="right"/>
      <w:pPr>
        <w:tabs>
          <w:tab w:val="num" w:pos="4320"/>
        </w:tabs>
        <w:ind w:left="4320" w:hanging="180"/>
      </w:pPr>
    </w:lvl>
    <w:lvl w:ilvl="6" w:tplc="98C416C0" w:tentative="1">
      <w:start w:val="1"/>
      <w:numFmt w:val="decimal"/>
      <w:lvlText w:val="%7."/>
      <w:lvlJc w:val="left"/>
      <w:pPr>
        <w:tabs>
          <w:tab w:val="num" w:pos="5040"/>
        </w:tabs>
        <w:ind w:left="5040" w:hanging="360"/>
      </w:pPr>
    </w:lvl>
    <w:lvl w:ilvl="7" w:tplc="454CE112" w:tentative="1">
      <w:start w:val="1"/>
      <w:numFmt w:val="lowerLetter"/>
      <w:lvlText w:val="%8."/>
      <w:lvlJc w:val="left"/>
      <w:pPr>
        <w:tabs>
          <w:tab w:val="num" w:pos="5760"/>
        </w:tabs>
        <w:ind w:left="5760" w:hanging="360"/>
      </w:pPr>
    </w:lvl>
    <w:lvl w:ilvl="8" w:tplc="1520B640" w:tentative="1">
      <w:start w:val="1"/>
      <w:numFmt w:val="lowerRoman"/>
      <w:lvlText w:val="%9."/>
      <w:lvlJc w:val="right"/>
      <w:pPr>
        <w:tabs>
          <w:tab w:val="num" w:pos="6480"/>
        </w:tabs>
        <w:ind w:left="6480" w:hanging="180"/>
      </w:pPr>
    </w:lvl>
  </w:abstractNum>
  <w:abstractNum w:abstractNumId="31" w15:restartNumberingAfterBreak="0">
    <w:nsid w:val="78523069"/>
    <w:multiLevelType w:val="hybridMultilevel"/>
    <w:tmpl w:val="6AD60870"/>
    <w:lvl w:ilvl="0" w:tplc="112ABE26">
      <w:start w:val="1"/>
      <w:numFmt w:val="decimal"/>
      <w:lvlText w:val="%1."/>
      <w:lvlJc w:val="left"/>
      <w:pPr>
        <w:ind w:left="762" w:hanging="360"/>
      </w:pPr>
      <w:rPr>
        <w:rFonts w:cs="Times New Roman" w:hint="default"/>
        <w:color w:val="auto"/>
      </w:rPr>
    </w:lvl>
    <w:lvl w:ilvl="1" w:tplc="04190019" w:tentative="1">
      <w:start w:val="1"/>
      <w:numFmt w:val="lowerLetter"/>
      <w:lvlText w:val="%2."/>
      <w:lvlJc w:val="left"/>
      <w:pPr>
        <w:ind w:left="1482" w:hanging="360"/>
      </w:pPr>
      <w:rPr>
        <w:rFonts w:cs="Times New Roman"/>
      </w:rPr>
    </w:lvl>
    <w:lvl w:ilvl="2" w:tplc="0419001B" w:tentative="1">
      <w:start w:val="1"/>
      <w:numFmt w:val="lowerRoman"/>
      <w:lvlText w:val="%3."/>
      <w:lvlJc w:val="right"/>
      <w:pPr>
        <w:ind w:left="2202" w:hanging="180"/>
      </w:pPr>
      <w:rPr>
        <w:rFonts w:cs="Times New Roman"/>
      </w:rPr>
    </w:lvl>
    <w:lvl w:ilvl="3" w:tplc="0419000F" w:tentative="1">
      <w:start w:val="1"/>
      <w:numFmt w:val="decimal"/>
      <w:lvlText w:val="%4."/>
      <w:lvlJc w:val="left"/>
      <w:pPr>
        <w:ind w:left="2922" w:hanging="360"/>
      </w:pPr>
      <w:rPr>
        <w:rFonts w:cs="Times New Roman"/>
      </w:rPr>
    </w:lvl>
    <w:lvl w:ilvl="4" w:tplc="04190019" w:tentative="1">
      <w:start w:val="1"/>
      <w:numFmt w:val="lowerLetter"/>
      <w:lvlText w:val="%5."/>
      <w:lvlJc w:val="left"/>
      <w:pPr>
        <w:ind w:left="3642" w:hanging="360"/>
      </w:pPr>
      <w:rPr>
        <w:rFonts w:cs="Times New Roman"/>
      </w:rPr>
    </w:lvl>
    <w:lvl w:ilvl="5" w:tplc="0419001B" w:tentative="1">
      <w:start w:val="1"/>
      <w:numFmt w:val="lowerRoman"/>
      <w:lvlText w:val="%6."/>
      <w:lvlJc w:val="right"/>
      <w:pPr>
        <w:ind w:left="4362" w:hanging="180"/>
      </w:pPr>
      <w:rPr>
        <w:rFonts w:cs="Times New Roman"/>
      </w:rPr>
    </w:lvl>
    <w:lvl w:ilvl="6" w:tplc="0419000F" w:tentative="1">
      <w:start w:val="1"/>
      <w:numFmt w:val="decimal"/>
      <w:lvlText w:val="%7."/>
      <w:lvlJc w:val="left"/>
      <w:pPr>
        <w:ind w:left="5082" w:hanging="360"/>
      </w:pPr>
      <w:rPr>
        <w:rFonts w:cs="Times New Roman"/>
      </w:rPr>
    </w:lvl>
    <w:lvl w:ilvl="7" w:tplc="04190019" w:tentative="1">
      <w:start w:val="1"/>
      <w:numFmt w:val="lowerLetter"/>
      <w:lvlText w:val="%8."/>
      <w:lvlJc w:val="left"/>
      <w:pPr>
        <w:ind w:left="5802" w:hanging="360"/>
      </w:pPr>
      <w:rPr>
        <w:rFonts w:cs="Times New Roman"/>
      </w:rPr>
    </w:lvl>
    <w:lvl w:ilvl="8" w:tplc="0419001B" w:tentative="1">
      <w:start w:val="1"/>
      <w:numFmt w:val="lowerRoman"/>
      <w:lvlText w:val="%9."/>
      <w:lvlJc w:val="right"/>
      <w:pPr>
        <w:ind w:left="6522" w:hanging="180"/>
      </w:pPr>
      <w:rPr>
        <w:rFonts w:cs="Times New Roman"/>
      </w:rPr>
    </w:lvl>
  </w:abstractNum>
  <w:abstractNum w:abstractNumId="32" w15:restartNumberingAfterBreak="0">
    <w:nsid w:val="787D2D87"/>
    <w:multiLevelType w:val="hybridMultilevel"/>
    <w:tmpl w:val="8C725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1673A0"/>
    <w:multiLevelType w:val="hybridMultilevel"/>
    <w:tmpl w:val="442A6226"/>
    <w:lvl w:ilvl="0" w:tplc="04190001">
      <w:start w:val="1"/>
      <w:numFmt w:val="bullet"/>
      <w:lvlText w:val=""/>
      <w:lvlJc w:val="left"/>
      <w:pPr>
        <w:ind w:left="1265" w:hanging="360"/>
      </w:pPr>
      <w:rPr>
        <w:rFonts w:ascii="Symbol" w:hAnsi="Symbol" w:hint="default"/>
      </w:rPr>
    </w:lvl>
    <w:lvl w:ilvl="1" w:tplc="04190003" w:tentative="1">
      <w:start w:val="1"/>
      <w:numFmt w:val="bullet"/>
      <w:lvlText w:val="o"/>
      <w:lvlJc w:val="left"/>
      <w:pPr>
        <w:ind w:left="1985" w:hanging="360"/>
      </w:pPr>
      <w:rPr>
        <w:rFonts w:ascii="Courier New" w:hAnsi="Courier New" w:cs="Courier New" w:hint="default"/>
      </w:rPr>
    </w:lvl>
    <w:lvl w:ilvl="2" w:tplc="04190005" w:tentative="1">
      <w:start w:val="1"/>
      <w:numFmt w:val="bullet"/>
      <w:lvlText w:val=""/>
      <w:lvlJc w:val="left"/>
      <w:pPr>
        <w:ind w:left="2705" w:hanging="360"/>
      </w:pPr>
      <w:rPr>
        <w:rFonts w:ascii="Wingdings" w:hAnsi="Wingdings" w:hint="default"/>
      </w:rPr>
    </w:lvl>
    <w:lvl w:ilvl="3" w:tplc="04190001" w:tentative="1">
      <w:start w:val="1"/>
      <w:numFmt w:val="bullet"/>
      <w:lvlText w:val=""/>
      <w:lvlJc w:val="left"/>
      <w:pPr>
        <w:ind w:left="3425" w:hanging="360"/>
      </w:pPr>
      <w:rPr>
        <w:rFonts w:ascii="Symbol" w:hAnsi="Symbol" w:hint="default"/>
      </w:rPr>
    </w:lvl>
    <w:lvl w:ilvl="4" w:tplc="04190003" w:tentative="1">
      <w:start w:val="1"/>
      <w:numFmt w:val="bullet"/>
      <w:lvlText w:val="o"/>
      <w:lvlJc w:val="left"/>
      <w:pPr>
        <w:ind w:left="4145" w:hanging="360"/>
      </w:pPr>
      <w:rPr>
        <w:rFonts w:ascii="Courier New" w:hAnsi="Courier New" w:cs="Courier New" w:hint="default"/>
      </w:rPr>
    </w:lvl>
    <w:lvl w:ilvl="5" w:tplc="04190005" w:tentative="1">
      <w:start w:val="1"/>
      <w:numFmt w:val="bullet"/>
      <w:lvlText w:val=""/>
      <w:lvlJc w:val="left"/>
      <w:pPr>
        <w:ind w:left="4865" w:hanging="360"/>
      </w:pPr>
      <w:rPr>
        <w:rFonts w:ascii="Wingdings" w:hAnsi="Wingdings" w:hint="default"/>
      </w:rPr>
    </w:lvl>
    <w:lvl w:ilvl="6" w:tplc="04190001" w:tentative="1">
      <w:start w:val="1"/>
      <w:numFmt w:val="bullet"/>
      <w:lvlText w:val=""/>
      <w:lvlJc w:val="left"/>
      <w:pPr>
        <w:ind w:left="5585" w:hanging="360"/>
      </w:pPr>
      <w:rPr>
        <w:rFonts w:ascii="Symbol" w:hAnsi="Symbol" w:hint="default"/>
      </w:rPr>
    </w:lvl>
    <w:lvl w:ilvl="7" w:tplc="04190003" w:tentative="1">
      <w:start w:val="1"/>
      <w:numFmt w:val="bullet"/>
      <w:lvlText w:val="o"/>
      <w:lvlJc w:val="left"/>
      <w:pPr>
        <w:ind w:left="6305" w:hanging="360"/>
      </w:pPr>
      <w:rPr>
        <w:rFonts w:ascii="Courier New" w:hAnsi="Courier New" w:cs="Courier New" w:hint="default"/>
      </w:rPr>
    </w:lvl>
    <w:lvl w:ilvl="8" w:tplc="04190005" w:tentative="1">
      <w:start w:val="1"/>
      <w:numFmt w:val="bullet"/>
      <w:lvlText w:val=""/>
      <w:lvlJc w:val="left"/>
      <w:pPr>
        <w:ind w:left="7025" w:hanging="360"/>
      </w:pPr>
      <w:rPr>
        <w:rFonts w:ascii="Wingdings" w:hAnsi="Wingdings" w:hint="default"/>
      </w:rPr>
    </w:lvl>
  </w:abstractNum>
  <w:abstractNum w:abstractNumId="34" w15:restartNumberingAfterBreak="0">
    <w:nsid w:val="7F3600DF"/>
    <w:multiLevelType w:val="hybridMultilevel"/>
    <w:tmpl w:val="47E696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0"/>
  </w:num>
  <w:num w:numId="5">
    <w:abstractNumId w:val="27"/>
  </w:num>
  <w:num w:numId="6">
    <w:abstractNumId w:val="23"/>
  </w:num>
  <w:num w:numId="7">
    <w:abstractNumId w:val="5"/>
  </w:num>
  <w:num w:numId="8">
    <w:abstractNumId w:val="9"/>
  </w:num>
  <w:num w:numId="9">
    <w:abstractNumId w:val="7"/>
  </w:num>
  <w:num w:numId="10">
    <w:abstractNumId w:val="33"/>
  </w:num>
  <w:num w:numId="11">
    <w:abstractNumId w:val="22"/>
  </w:num>
  <w:num w:numId="12">
    <w:abstractNumId w:val="26"/>
  </w:num>
  <w:num w:numId="13">
    <w:abstractNumId w:val="31"/>
  </w:num>
  <w:num w:numId="14">
    <w:abstractNumId w:val="18"/>
  </w:num>
  <w:num w:numId="15">
    <w:abstractNumId w:val="21"/>
  </w:num>
  <w:num w:numId="16">
    <w:abstractNumId w:val="17"/>
  </w:num>
  <w:num w:numId="17">
    <w:abstractNumId w:val="32"/>
  </w:num>
  <w:num w:numId="18">
    <w:abstractNumId w:val="10"/>
  </w:num>
  <w:num w:numId="19">
    <w:abstractNumId w:val="16"/>
  </w:num>
  <w:num w:numId="20">
    <w:abstractNumId w:val="20"/>
  </w:num>
  <w:num w:numId="21">
    <w:abstractNumId w:val="2"/>
  </w:num>
  <w:num w:numId="22">
    <w:abstractNumId w:val="3"/>
  </w:num>
  <w:num w:numId="23">
    <w:abstractNumId w:val="12"/>
  </w:num>
  <w:num w:numId="24">
    <w:abstractNumId w:val="29"/>
  </w:num>
  <w:num w:numId="25">
    <w:abstractNumId w:val="13"/>
  </w:num>
  <w:num w:numId="26">
    <w:abstractNumId w:val="25"/>
  </w:num>
  <w:num w:numId="27">
    <w:abstractNumId w:val="4"/>
  </w:num>
  <w:num w:numId="28">
    <w:abstractNumId w:val="34"/>
  </w:num>
  <w:num w:numId="29">
    <w:abstractNumId w:val="14"/>
  </w:num>
  <w:num w:numId="30">
    <w:abstractNumId w:val="24"/>
  </w:num>
  <w:num w:numId="31">
    <w:abstractNumId w:val="19"/>
  </w:num>
  <w:num w:numId="32">
    <w:abstractNumId w:val="1"/>
  </w:num>
  <w:num w:numId="33">
    <w:abstractNumId w:val="8"/>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253"/>
    <w:rsid w:val="00283253"/>
    <w:rsid w:val="009C5202"/>
    <w:rsid w:val="00DD2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DD3DE8"/>
  <w14:defaultImageDpi w14:val="0"/>
  <w15:docId w15:val="{233D2525-8E89-4BE3-A892-E3A96117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D262C"/>
    <w:pPr>
      <w:keepNext/>
      <w:numPr>
        <w:numId w:val="1"/>
      </w:numPr>
      <w:spacing w:before="240" w:after="240" w:line="240" w:lineRule="auto"/>
      <w:outlineLvl w:val="0"/>
    </w:pPr>
    <w:rPr>
      <w:rFonts w:ascii="Times New Roman" w:eastAsia="Calibri" w:hAnsi="Times New Roman" w:cs="Times New Roman"/>
      <w:b/>
      <w:kern w:val="28"/>
      <w:sz w:val="20"/>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262C"/>
    <w:rPr>
      <w:rFonts w:ascii="Times New Roman" w:eastAsia="Calibri" w:hAnsi="Times New Roman" w:cs="Times New Roman"/>
      <w:b/>
      <w:kern w:val="28"/>
      <w:sz w:val="20"/>
      <w:szCs w:val="24"/>
      <w:lang w:val="uk-UA" w:eastAsia="uk-UA"/>
    </w:rPr>
  </w:style>
  <w:style w:type="paragraph" w:customStyle="1" w:styleId="ABC-paragrahinNotes">
    <w:name w:val="ABC - paragrah in Notes"/>
    <w:link w:val="ABC-paragrahinNotesChar1"/>
    <w:rsid w:val="00DD262C"/>
    <w:pPr>
      <w:spacing w:after="240" w:line="240" w:lineRule="auto"/>
      <w:jc w:val="both"/>
    </w:pPr>
    <w:rPr>
      <w:rFonts w:ascii="Arial" w:eastAsia="Times New Roman" w:hAnsi="Arial" w:cs="Times New Roman"/>
      <w:sz w:val="24"/>
      <w:szCs w:val="24"/>
      <w:lang w:val="en-GB"/>
    </w:rPr>
  </w:style>
  <w:style w:type="paragraph" w:styleId="a3">
    <w:name w:val="Body Text"/>
    <w:basedOn w:val="a"/>
    <w:link w:val="a4"/>
    <w:rsid w:val="00DD262C"/>
    <w:pPr>
      <w:widowControl w:val="0"/>
      <w:suppressLineNumbers/>
      <w:spacing w:after="0" w:line="240" w:lineRule="auto"/>
      <w:ind w:right="1"/>
      <w:jc w:val="both"/>
    </w:pPr>
    <w:rPr>
      <w:rFonts w:ascii="Times New Roman" w:eastAsia="Calibri" w:hAnsi="Times New Roman" w:cs="Times New Roman"/>
      <w:sz w:val="24"/>
      <w:szCs w:val="24"/>
      <w:lang w:val="uk-UA" w:eastAsia="uk-UA"/>
    </w:rPr>
  </w:style>
  <w:style w:type="character" w:customStyle="1" w:styleId="a4">
    <w:name w:val="Основной текст Знак"/>
    <w:basedOn w:val="a0"/>
    <w:link w:val="a3"/>
    <w:rsid w:val="00DD262C"/>
    <w:rPr>
      <w:rFonts w:ascii="Times New Roman" w:eastAsia="Calibri" w:hAnsi="Times New Roman" w:cs="Times New Roman"/>
      <w:sz w:val="24"/>
      <w:szCs w:val="24"/>
      <w:lang w:val="uk-UA" w:eastAsia="uk-UA"/>
    </w:rPr>
  </w:style>
  <w:style w:type="character" w:customStyle="1" w:styleId="ABC-paragrahinNotesChar1">
    <w:name w:val="ABC - paragrah in Notes Char1"/>
    <w:link w:val="ABC-paragrahinNotes"/>
    <w:locked/>
    <w:rsid w:val="00DD262C"/>
    <w:rPr>
      <w:rFonts w:ascii="Arial" w:eastAsia="Times New Roman" w:hAnsi="Arial" w:cs="Times New Roman"/>
      <w:sz w:val="24"/>
      <w:szCs w:val="24"/>
      <w:lang w:val="en-GB"/>
    </w:rPr>
  </w:style>
  <w:style w:type="character" w:customStyle="1" w:styleId="Heading1Char1">
    <w:name w:val="Heading 1 Char1"/>
    <w:locked/>
    <w:rsid w:val="00DD262C"/>
    <w:rPr>
      <w:rFonts w:ascii="Arial" w:hAnsi="Arial"/>
      <w:b/>
      <w:kern w:val="28"/>
      <w:lang w:val="en-GB" w:eastAsia="en-US" w:bidi="ar-SA"/>
    </w:rPr>
  </w:style>
  <w:style w:type="paragraph" w:customStyle="1" w:styleId="Continued">
    <w:name w:val="Continued"/>
    <w:rsid w:val="00DD262C"/>
    <w:pPr>
      <w:keepNext/>
      <w:keepLines/>
      <w:pageBreakBefore/>
      <w:tabs>
        <w:tab w:val="left" w:pos="567"/>
      </w:tabs>
      <w:spacing w:after="240" w:line="240" w:lineRule="auto"/>
      <w:ind w:left="567" w:hanging="567"/>
    </w:pPr>
    <w:rPr>
      <w:rFonts w:ascii="Arial" w:eastAsia="Times New Roman" w:hAnsi="Arial" w:cs="Times New Roman"/>
      <w:b/>
      <w:sz w:val="24"/>
      <w:szCs w:val="24"/>
      <w:lang w:val="en-US" w:eastAsia="en-US"/>
    </w:rPr>
  </w:style>
  <w:style w:type="character" w:customStyle="1" w:styleId="StyleContinued9ptChar">
    <w:name w:val="Style Continued + 9 pt Char"/>
    <w:rsid w:val="00DD262C"/>
    <w:rPr>
      <w:rFonts w:ascii="Arial" w:hAnsi="Arial" w:cs="Times New Roman"/>
      <w:b/>
      <w:bCs/>
      <w:lang w:val="en-US" w:eastAsia="en-US" w:bidi="ar-SA"/>
    </w:rPr>
  </w:style>
  <w:style w:type="paragraph" w:customStyle="1" w:styleId="Tabletext">
    <w:name w:val="Table text"/>
    <w:basedOn w:val="a"/>
    <w:rsid w:val="00DD262C"/>
    <w:pPr>
      <w:spacing w:after="0" w:line="240" w:lineRule="auto"/>
      <w:ind w:left="85" w:hanging="85"/>
    </w:pPr>
    <w:rPr>
      <w:rFonts w:ascii="Times New Roman" w:eastAsia="Calibri" w:hAnsi="Times New Roman" w:cs="Times New Roman"/>
      <w:sz w:val="24"/>
      <w:szCs w:val="24"/>
      <w:lang w:val="uk-UA" w:eastAsia="uk-UA"/>
    </w:rPr>
  </w:style>
  <w:style w:type="paragraph" w:customStyle="1" w:styleId="Rowheader">
    <w:name w:val="Row header"/>
    <w:basedOn w:val="a"/>
    <w:rsid w:val="00DD262C"/>
    <w:pPr>
      <w:spacing w:after="0" w:line="240" w:lineRule="auto"/>
      <w:ind w:left="85" w:hanging="85"/>
    </w:pPr>
    <w:rPr>
      <w:rFonts w:ascii="Times New Roman" w:eastAsia="Calibri" w:hAnsi="Times New Roman" w:cs="Times New Roman"/>
      <w:b/>
      <w:sz w:val="24"/>
      <w:szCs w:val="24"/>
      <w:lang w:val="uk-UA" w:eastAsia="uk-UA"/>
    </w:rPr>
  </w:style>
  <w:style w:type="paragraph" w:customStyle="1" w:styleId="Columnheader">
    <w:name w:val="Column header"/>
    <w:basedOn w:val="a"/>
    <w:rsid w:val="00DD262C"/>
    <w:pPr>
      <w:tabs>
        <w:tab w:val="decimal" w:pos="1503"/>
      </w:tabs>
      <w:spacing w:after="0" w:line="228" w:lineRule="auto"/>
      <w:ind w:right="-56"/>
    </w:pPr>
    <w:rPr>
      <w:rFonts w:ascii="Times New Roman" w:eastAsia="Calibri" w:hAnsi="Times New Roman" w:cs="Times New Roman"/>
      <w:b/>
      <w:sz w:val="24"/>
      <w:szCs w:val="24"/>
      <w:lang w:val="uk-UA" w:eastAsia="uk-UA"/>
    </w:rPr>
  </w:style>
  <w:style w:type="paragraph" w:customStyle="1" w:styleId="Tablenumbers1">
    <w:name w:val="Table numbers1"/>
    <w:rsid w:val="00DD262C"/>
    <w:pPr>
      <w:tabs>
        <w:tab w:val="decimal" w:pos="1503"/>
      </w:tabs>
      <w:spacing w:after="0" w:line="240" w:lineRule="auto"/>
      <w:ind w:right="-56"/>
    </w:pPr>
    <w:rPr>
      <w:rFonts w:ascii="Arial" w:eastAsia="Times New Roman" w:hAnsi="Arial" w:cs="Times New Roman"/>
      <w:sz w:val="18"/>
      <w:szCs w:val="24"/>
      <w:lang w:val="en-GB" w:eastAsia="en-US"/>
    </w:rPr>
  </w:style>
  <w:style w:type="paragraph" w:customStyle="1" w:styleId="ABC-Comments">
    <w:name w:val="ABC - Comments"/>
    <w:basedOn w:val="ABC-paragrahinNotes"/>
    <w:rsid w:val="00DD262C"/>
    <w:rPr>
      <w:i/>
      <w:color w:val="FF0000"/>
    </w:rPr>
  </w:style>
  <w:style w:type="paragraph" w:customStyle="1" w:styleId="RRthousands">
    <w:name w:val="RR thousands"/>
    <w:basedOn w:val="a"/>
    <w:link w:val="RRthousandsChar"/>
    <w:rsid w:val="00DD262C"/>
    <w:pPr>
      <w:spacing w:after="0" w:line="240" w:lineRule="auto"/>
      <w:ind w:left="86" w:hanging="86"/>
    </w:pPr>
    <w:rPr>
      <w:rFonts w:ascii="Times New Roman" w:eastAsia="Calibri" w:hAnsi="Times New Roman" w:cs="Arial"/>
      <w:i/>
      <w:sz w:val="16"/>
      <w:szCs w:val="24"/>
      <w:lang w:val="uk-UA" w:eastAsia="uk-UA"/>
    </w:rPr>
  </w:style>
  <w:style w:type="character" w:customStyle="1" w:styleId="RRthousandsChar">
    <w:name w:val="RR thousands Char"/>
    <w:link w:val="RRthousands"/>
    <w:locked/>
    <w:rsid w:val="00DD262C"/>
    <w:rPr>
      <w:rFonts w:ascii="Times New Roman" w:eastAsia="Calibri" w:hAnsi="Times New Roman" w:cs="Arial"/>
      <w:i/>
      <w:sz w:val="16"/>
      <w:szCs w:val="24"/>
      <w:lang w:val="uk-UA" w:eastAsia="uk-UA"/>
    </w:rPr>
  </w:style>
  <w:style w:type="paragraph" w:styleId="a5">
    <w:name w:val="footer"/>
    <w:basedOn w:val="a"/>
    <w:link w:val="a6"/>
    <w:rsid w:val="00DD262C"/>
    <w:pPr>
      <w:tabs>
        <w:tab w:val="center" w:pos="4153"/>
        <w:tab w:val="right" w:pos="8306"/>
      </w:tabs>
      <w:spacing w:after="0" w:line="240" w:lineRule="auto"/>
      <w:jc w:val="both"/>
    </w:pPr>
    <w:rPr>
      <w:rFonts w:ascii="Times New Roman" w:eastAsia="Calibri" w:hAnsi="Times New Roman" w:cs="Times New Roman"/>
      <w:sz w:val="24"/>
      <w:szCs w:val="24"/>
      <w:lang w:val="uk-UA" w:eastAsia="uk-UA"/>
    </w:rPr>
  </w:style>
  <w:style w:type="character" w:customStyle="1" w:styleId="a6">
    <w:name w:val="Нижний колонтитул Знак"/>
    <w:basedOn w:val="a0"/>
    <w:link w:val="a5"/>
    <w:rsid w:val="00DD262C"/>
    <w:rPr>
      <w:rFonts w:ascii="Times New Roman" w:eastAsia="Calibri" w:hAnsi="Times New Roman" w:cs="Times New Roman"/>
      <w:sz w:val="24"/>
      <w:szCs w:val="24"/>
      <w:lang w:val="uk-UA" w:eastAsia="uk-UA"/>
    </w:rPr>
  </w:style>
  <w:style w:type="character" w:customStyle="1" w:styleId="BodyTextChar">
    <w:name w:val="Body Text Char"/>
    <w:locked/>
    <w:rsid w:val="00DD262C"/>
    <w:rPr>
      <w:rFonts w:ascii="Arial" w:hAnsi="Arial" w:cs="Times New Roman"/>
      <w:sz w:val="18"/>
      <w:lang w:val="en-GB" w:eastAsia="en-US"/>
    </w:rPr>
  </w:style>
  <w:style w:type="paragraph" w:styleId="a7">
    <w:name w:val="Normal (Web)"/>
    <w:basedOn w:val="a"/>
    <w:uiPriority w:val="99"/>
    <w:rsid w:val="00DD262C"/>
    <w:pPr>
      <w:spacing w:before="100" w:beforeAutospacing="1" w:after="100" w:afterAutospacing="1" w:line="276" w:lineRule="auto"/>
      <w:jc w:val="both"/>
    </w:pPr>
    <w:rPr>
      <w:rFonts w:ascii="Verdana" w:eastAsia="Calibri" w:hAnsi="Verdana" w:cs="Times New Roman"/>
      <w:color w:val="3E488E"/>
      <w:sz w:val="17"/>
      <w:szCs w:val="17"/>
      <w:lang w:val="en-US" w:eastAsia="uk-UA"/>
    </w:rPr>
  </w:style>
  <w:style w:type="paragraph" w:customStyle="1" w:styleId="bodytext">
    <w:name w:val="bodytext"/>
    <w:basedOn w:val="a"/>
    <w:rsid w:val="00DD262C"/>
    <w:pPr>
      <w:spacing w:before="100" w:beforeAutospacing="1" w:after="100" w:afterAutospacing="1" w:line="240" w:lineRule="auto"/>
    </w:pPr>
    <w:rPr>
      <w:rFonts w:ascii="Times New Roman" w:eastAsia="Calibri" w:hAnsi="Times New Roman" w:cs="Times New Roman"/>
      <w:sz w:val="24"/>
      <w:szCs w:val="24"/>
    </w:rPr>
  </w:style>
  <w:style w:type="character" w:styleId="a8">
    <w:name w:val="page number"/>
    <w:basedOn w:val="a0"/>
    <w:rsid w:val="00DD262C"/>
  </w:style>
  <w:style w:type="paragraph" w:customStyle="1" w:styleId="msonospacing0">
    <w:name w:val="msonospacing"/>
    <w:basedOn w:val="a"/>
    <w:rsid w:val="00DD262C"/>
    <w:pPr>
      <w:spacing w:before="100" w:beforeAutospacing="1" w:after="100" w:afterAutospacing="1" w:line="240" w:lineRule="auto"/>
    </w:pPr>
    <w:rPr>
      <w:rFonts w:ascii="Verdana" w:eastAsia="Calibri" w:hAnsi="Verdana" w:cs="Times New Roman"/>
      <w:color w:val="000000"/>
      <w:sz w:val="17"/>
      <w:szCs w:val="17"/>
    </w:rPr>
  </w:style>
  <w:style w:type="paragraph" w:styleId="a9">
    <w:name w:val="header"/>
    <w:basedOn w:val="a"/>
    <w:link w:val="aa"/>
    <w:rsid w:val="00DD262C"/>
    <w:pPr>
      <w:tabs>
        <w:tab w:val="center" w:pos="4677"/>
        <w:tab w:val="right" w:pos="9355"/>
      </w:tabs>
      <w:spacing w:after="0" w:line="240" w:lineRule="auto"/>
    </w:pPr>
    <w:rPr>
      <w:rFonts w:ascii="Times New Roman" w:eastAsia="Calibri" w:hAnsi="Times New Roman" w:cs="Times New Roman"/>
      <w:sz w:val="24"/>
      <w:szCs w:val="24"/>
      <w:lang w:val="uk-UA" w:eastAsia="uk-UA"/>
    </w:rPr>
  </w:style>
  <w:style w:type="character" w:customStyle="1" w:styleId="aa">
    <w:name w:val="Верхний колонтитул Знак"/>
    <w:basedOn w:val="a0"/>
    <w:link w:val="a9"/>
    <w:rsid w:val="00DD262C"/>
    <w:rPr>
      <w:rFonts w:ascii="Times New Roman" w:eastAsia="Calibri" w:hAnsi="Times New Roman" w:cs="Times New Roman"/>
      <w:sz w:val="24"/>
      <w:szCs w:val="24"/>
      <w:lang w:val="uk-UA" w:eastAsia="uk-UA"/>
    </w:rPr>
  </w:style>
  <w:style w:type="table" w:styleId="ab">
    <w:name w:val="Table Grid"/>
    <w:basedOn w:val="a1"/>
    <w:rsid w:val="00DD262C"/>
    <w:pPr>
      <w:spacing w:after="0" w:line="240" w:lineRule="auto"/>
    </w:pPr>
    <w:rPr>
      <w:rFonts w:ascii="Times New Roman" w:eastAsia="Calibri" w:hAnsi="Times New Roman" w:cs="Times New Roman"/>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DD262C"/>
    <w:pPr>
      <w:spacing w:after="0" w:line="240" w:lineRule="auto"/>
    </w:pPr>
    <w:rPr>
      <w:rFonts w:ascii="Times New Roman" w:eastAsia="Calibri" w:hAnsi="Times New Roman" w:cs="Times New Roman"/>
      <w:lang w:eastAsia="en-US"/>
    </w:rPr>
  </w:style>
  <w:style w:type="paragraph" w:styleId="ad">
    <w:name w:val="List Paragraph"/>
    <w:basedOn w:val="a"/>
    <w:uiPriority w:val="34"/>
    <w:qFormat/>
    <w:rsid w:val="00DD262C"/>
    <w:pPr>
      <w:spacing w:after="200" w:line="276" w:lineRule="auto"/>
      <w:ind w:left="720"/>
      <w:contextualSpacing/>
    </w:pPr>
    <w:rPr>
      <w:rFonts w:ascii="Calibri" w:eastAsia="Calibri" w:hAnsi="Calibri" w:cs="Times New Roman"/>
      <w:lang w:val="uk-UA" w:eastAsia="uk-UA"/>
    </w:rPr>
  </w:style>
  <w:style w:type="paragraph" w:styleId="ae">
    <w:name w:val="annotation text"/>
    <w:basedOn w:val="a"/>
    <w:link w:val="af"/>
    <w:uiPriority w:val="99"/>
    <w:semiHidden/>
    <w:unhideWhenUsed/>
    <w:rsid w:val="00DD262C"/>
    <w:pPr>
      <w:spacing w:after="0" w:line="240" w:lineRule="auto"/>
    </w:pPr>
    <w:rPr>
      <w:rFonts w:ascii="Times New Roman" w:eastAsia="Calibri" w:hAnsi="Times New Roman" w:cs="Times New Roman"/>
      <w:sz w:val="20"/>
      <w:szCs w:val="24"/>
      <w:lang w:val="uk-UA" w:eastAsia="uk-UA"/>
    </w:rPr>
  </w:style>
  <w:style w:type="character" w:customStyle="1" w:styleId="af">
    <w:name w:val="Текст примечания Знак"/>
    <w:basedOn w:val="a0"/>
    <w:link w:val="ae"/>
    <w:uiPriority w:val="99"/>
    <w:semiHidden/>
    <w:rsid w:val="00DD262C"/>
    <w:rPr>
      <w:rFonts w:ascii="Times New Roman" w:eastAsia="Calibri" w:hAnsi="Times New Roman" w:cs="Times New Roman"/>
      <w:sz w:val="20"/>
      <w:szCs w:val="24"/>
      <w:lang w:val="uk-UA" w:eastAsia="uk-UA"/>
    </w:rPr>
  </w:style>
  <w:style w:type="character" w:styleId="af0">
    <w:name w:val="annotation reference"/>
    <w:uiPriority w:val="99"/>
    <w:semiHidden/>
    <w:unhideWhenUsed/>
    <w:rsid w:val="00DD262C"/>
    <w:rPr>
      <w:sz w:val="16"/>
      <w:szCs w:val="16"/>
    </w:rPr>
  </w:style>
  <w:style w:type="paragraph" w:styleId="af1">
    <w:name w:val="Balloon Text"/>
    <w:basedOn w:val="a"/>
    <w:link w:val="af2"/>
    <w:uiPriority w:val="99"/>
    <w:semiHidden/>
    <w:unhideWhenUsed/>
    <w:rsid w:val="00DD262C"/>
    <w:pPr>
      <w:spacing w:after="0" w:line="240" w:lineRule="auto"/>
    </w:pPr>
    <w:rPr>
      <w:rFonts w:ascii="Tahoma" w:eastAsia="Calibri" w:hAnsi="Tahoma" w:cs="Times New Roman"/>
      <w:sz w:val="16"/>
      <w:szCs w:val="16"/>
      <w:lang w:val="uk-UA" w:eastAsia="uk-UA"/>
    </w:rPr>
  </w:style>
  <w:style w:type="character" w:customStyle="1" w:styleId="af2">
    <w:name w:val="Текст выноски Знак"/>
    <w:basedOn w:val="a0"/>
    <w:link w:val="af1"/>
    <w:uiPriority w:val="99"/>
    <w:semiHidden/>
    <w:rsid w:val="00DD262C"/>
    <w:rPr>
      <w:rFonts w:ascii="Tahoma" w:eastAsia="Calibri" w:hAnsi="Tahoma" w:cs="Times New Roman"/>
      <w:sz w:val="16"/>
      <w:szCs w:val="16"/>
      <w:lang w:val="uk-UA" w:eastAsia="uk-UA"/>
    </w:rPr>
  </w:style>
  <w:style w:type="paragraph" w:customStyle="1" w:styleId="11">
    <w:name w:val="Абзац списка1"/>
    <w:basedOn w:val="a"/>
    <w:rsid w:val="00DD262C"/>
    <w:pPr>
      <w:spacing w:after="200" w:line="276" w:lineRule="auto"/>
      <w:ind w:left="720"/>
      <w:contextualSpacing/>
    </w:pPr>
    <w:rPr>
      <w:rFonts w:ascii="Calibri" w:eastAsia="Calibri" w:hAnsi="Calibri" w:cs="Times New Roman"/>
      <w:lang w:val="uk-UA" w:eastAsia="uk-UA"/>
    </w:rPr>
  </w:style>
  <w:style w:type="paragraph" w:styleId="af3">
    <w:name w:val="footnote text"/>
    <w:basedOn w:val="a"/>
    <w:link w:val="af4"/>
    <w:uiPriority w:val="99"/>
    <w:semiHidden/>
    <w:unhideWhenUsed/>
    <w:rsid w:val="00DD262C"/>
    <w:pPr>
      <w:spacing w:after="0" w:line="240" w:lineRule="auto"/>
    </w:pPr>
    <w:rPr>
      <w:rFonts w:ascii="Times New Roman" w:eastAsia="Calibri" w:hAnsi="Times New Roman" w:cs="Times New Roman"/>
      <w:sz w:val="20"/>
      <w:szCs w:val="24"/>
      <w:lang w:val="uk-UA" w:eastAsia="uk-UA"/>
    </w:rPr>
  </w:style>
  <w:style w:type="character" w:customStyle="1" w:styleId="af4">
    <w:name w:val="Текст сноски Знак"/>
    <w:basedOn w:val="a0"/>
    <w:link w:val="af3"/>
    <w:uiPriority w:val="99"/>
    <w:semiHidden/>
    <w:rsid w:val="00DD262C"/>
    <w:rPr>
      <w:rFonts w:ascii="Times New Roman" w:eastAsia="Calibri" w:hAnsi="Times New Roman" w:cs="Times New Roman"/>
      <w:sz w:val="20"/>
      <w:szCs w:val="24"/>
      <w:lang w:val="uk-UA" w:eastAsia="uk-UA"/>
    </w:rPr>
  </w:style>
  <w:style w:type="character" w:styleId="af5">
    <w:name w:val="footnote reference"/>
    <w:uiPriority w:val="99"/>
    <w:semiHidden/>
    <w:unhideWhenUsed/>
    <w:rsid w:val="00DD262C"/>
    <w:rPr>
      <w:vertAlign w:val="superscript"/>
    </w:rPr>
  </w:style>
  <w:style w:type="paragraph" w:styleId="af6">
    <w:name w:val="annotation subject"/>
    <w:basedOn w:val="ae"/>
    <w:next w:val="ae"/>
    <w:link w:val="af7"/>
    <w:uiPriority w:val="99"/>
    <w:semiHidden/>
    <w:unhideWhenUsed/>
    <w:rsid w:val="00DD262C"/>
    <w:rPr>
      <w:b/>
      <w:bCs/>
    </w:rPr>
  </w:style>
  <w:style w:type="character" w:customStyle="1" w:styleId="af7">
    <w:name w:val="Тема примечания Знак"/>
    <w:basedOn w:val="af"/>
    <w:link w:val="af6"/>
    <w:uiPriority w:val="99"/>
    <w:semiHidden/>
    <w:rsid w:val="00DD262C"/>
    <w:rPr>
      <w:rFonts w:ascii="Times New Roman" w:eastAsia="Calibri" w:hAnsi="Times New Roman" w:cs="Times New Roman"/>
      <w:b/>
      <w:bCs/>
      <w:sz w:val="20"/>
      <w:szCs w:val="24"/>
      <w:lang w:val="uk-UA" w:eastAsia="uk-UA"/>
    </w:rPr>
  </w:style>
  <w:style w:type="paragraph" w:styleId="af8">
    <w:name w:val="Revision"/>
    <w:hidden/>
    <w:uiPriority w:val="99"/>
    <w:semiHidden/>
    <w:rsid w:val="00DD262C"/>
    <w:pPr>
      <w:spacing w:after="0" w:line="240" w:lineRule="auto"/>
    </w:pPr>
    <w:rPr>
      <w:rFonts w:ascii="Arial" w:eastAsia="Times New Roman" w:hAnsi="Arial" w:cs="Times New Roman"/>
      <w:sz w:val="18"/>
      <w:szCs w:val="24"/>
      <w:lang w:val="en-GB" w:eastAsia="en-US"/>
    </w:rPr>
  </w:style>
  <w:style w:type="character" w:customStyle="1" w:styleId="apple-converted-space">
    <w:name w:val="apple-converted-space"/>
    <w:rsid w:val="00DD262C"/>
  </w:style>
  <w:style w:type="character" w:customStyle="1" w:styleId="rvts9">
    <w:name w:val="rvts9"/>
    <w:rsid w:val="00DD262C"/>
  </w:style>
  <w:style w:type="paragraph" w:customStyle="1" w:styleId="rvps2">
    <w:name w:val="rvps2"/>
    <w:basedOn w:val="a"/>
    <w:rsid w:val="00DD262C"/>
    <w:pPr>
      <w:spacing w:before="100" w:beforeAutospacing="1" w:after="100" w:afterAutospacing="1" w:line="240" w:lineRule="auto"/>
    </w:pPr>
    <w:rPr>
      <w:rFonts w:ascii="Times New Roman" w:eastAsia="Calibri" w:hAnsi="Times New Roman" w:cs="Times New Roman"/>
      <w:sz w:val="24"/>
      <w:szCs w:val="24"/>
    </w:rPr>
  </w:style>
  <w:style w:type="character" w:customStyle="1" w:styleId="rvts23">
    <w:name w:val="rvts23"/>
    <w:basedOn w:val="a0"/>
    <w:rsid w:val="00DD262C"/>
  </w:style>
  <w:style w:type="paragraph" w:customStyle="1" w:styleId="subtitle">
    <w:name w:val="sub_title"/>
    <w:basedOn w:val="a"/>
    <w:rsid w:val="00DD262C"/>
    <w:pPr>
      <w:spacing w:before="100" w:beforeAutospacing="1" w:after="100" w:afterAutospacing="1" w:line="240" w:lineRule="auto"/>
    </w:pPr>
    <w:rPr>
      <w:rFonts w:ascii="Times New Roman" w:eastAsia="Calibri" w:hAnsi="Times New Roman" w:cs="Times New Roman"/>
      <w:sz w:val="24"/>
      <w:szCs w:val="24"/>
    </w:rPr>
  </w:style>
  <w:style w:type="character" w:styleId="af9">
    <w:name w:val="Strong"/>
    <w:uiPriority w:val="22"/>
    <w:qFormat/>
    <w:rsid w:val="00DD262C"/>
    <w:rPr>
      <w:b/>
      <w:bCs/>
    </w:rPr>
  </w:style>
  <w:style w:type="character" w:styleId="afa">
    <w:name w:val="Emphasis"/>
    <w:uiPriority w:val="20"/>
    <w:qFormat/>
    <w:rsid w:val="00DD262C"/>
    <w:rPr>
      <w:i/>
      <w:iCs/>
    </w:rPr>
  </w:style>
  <w:style w:type="character" w:styleId="afb">
    <w:name w:val="Hyperlink"/>
    <w:uiPriority w:val="99"/>
    <w:semiHidden/>
    <w:unhideWhenUsed/>
    <w:rsid w:val="00DD262C"/>
    <w:rPr>
      <w:color w:val="0000FF"/>
      <w:u w:val="single"/>
    </w:rPr>
  </w:style>
  <w:style w:type="character" w:customStyle="1" w:styleId="mcntst42">
    <w:name w:val="mcntst42"/>
    <w:basedOn w:val="a0"/>
    <w:rsid w:val="00DD262C"/>
  </w:style>
  <w:style w:type="character" w:customStyle="1" w:styleId="2">
    <w:name w:val="Основной текст (2)_"/>
    <w:basedOn w:val="a0"/>
    <w:link w:val="20"/>
    <w:rsid w:val="00DD262C"/>
    <w:rPr>
      <w:shd w:val="clear" w:color="auto" w:fill="FFFFFF"/>
    </w:rPr>
  </w:style>
  <w:style w:type="character" w:customStyle="1" w:styleId="29pt">
    <w:name w:val="Основной текст (2) + 9 pt"/>
    <w:aliases w:val="Полужирный,Основной текст (2) + 11,5 pt,Курсив,Основной текст (2) + Полужирный,Колонтитул + 8,Не полужирный,Не курсив,Колонтитул (4) + 9 pt,Основной текст (2) + 8,Основной текст (2) + Trebuchet MS,6"/>
    <w:basedOn w:val="2"/>
    <w:rsid w:val="00DD262C"/>
    <w:rPr>
      <w:b/>
      <w:bCs/>
      <w:color w:val="000000"/>
      <w:spacing w:val="0"/>
      <w:w w:val="100"/>
      <w:position w:val="0"/>
      <w:sz w:val="18"/>
      <w:szCs w:val="18"/>
      <w:shd w:val="clear" w:color="auto" w:fill="FFFFFF"/>
      <w:lang w:val="uk-UA" w:eastAsia="uk-UA" w:bidi="uk-UA"/>
    </w:rPr>
  </w:style>
  <w:style w:type="paragraph" w:customStyle="1" w:styleId="20">
    <w:name w:val="Основной текст (2)"/>
    <w:basedOn w:val="a"/>
    <w:link w:val="2"/>
    <w:rsid w:val="00DD262C"/>
    <w:pPr>
      <w:widowControl w:val="0"/>
      <w:shd w:val="clear" w:color="auto" w:fill="FFFFFF"/>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ewpoint.pwc.com/dt/gx/en/iasb/standards/standards__1_INT/standards__1_INT/Deferred-Tax-related-to-Assets-.html" TargetMode="External"/><Relationship Id="rId5" Type="http://schemas.openxmlformats.org/officeDocument/2006/relationships/hyperlink" Target="https://www.ifrs.org/content/dam/ifrs/publications/amendments/english/2021/ias-2021-3-deferred-tax-related-to-assets-and-liabilities-arising-from-a-single-transaction-amendment-ias-12.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60</Pages>
  <Words>20215</Words>
  <Characters>115230</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3</cp:revision>
  <dcterms:created xsi:type="dcterms:W3CDTF">2023-12-22T07:30:00Z</dcterms:created>
  <dcterms:modified xsi:type="dcterms:W3CDTF">2023-12-22T07:44:00Z</dcterms:modified>
</cp:coreProperties>
</file>